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VO-ID212422 (Brandenburg) — Befreiungen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</w:t>
      </w:r>
    </w:p>
    <w:p>
      <w:r>
        <w:t xml:space="preserve">Verboten dieser Verordnung kann die zuständige Naturschutzbehörde auf Antrag</w:t>
      </w:r>
    </w:p>
    <w:p>
      <w:r>
        <w:t xml:space="preserve">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