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VO-ID212422 (Brandenburg) — Schutzzweck</w:t>
      </w:r>
    </w:p>
    <w:p>
      <w:r>
        <w:rPr>
          <w:color w:val="555555"/>
          <w:sz w:val="18"/>
        </w:rPr>
        <w:t xml:space="preserve">Verordnung über das Naturschutzgebiet „Kummersdorfer Heide/Breiter Steinbusch“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Schutzzweck des Naturschutzgebietes, das eine eiszeitlich geprägte Landschaft</w:t>
      </w:r>
    </w:p>
    <w:p>
      <w:r>
        <w:t xml:space="preserve">mit Dünen der Luckenwalder Heide im Verbund mit Niederungsbereichen der</w:t>
      </w:r>
    </w:p>
    <w:p>
      <w:r>
        <w:t xml:space="preserve">Nuthe-Notte-Niederung umfasst, ist</w:t>
      </w:r>
    </w:p>
    <w:p>
      <w:r>
        <w:t xml:space="preserve">die Erhaltung,</w:t>
      </w:r>
    </w:p>
    <w:p>
      <w:r>
        <w:t xml:space="preserve">Wiederherstellung und Entwicklung der Lebensräume wild lebender</w:t>
      </w:r>
    </w:p>
    <w:p>
      <w:r>
        <w:t xml:space="preserve">Pflanzengesellschaften, insbesondere der Sandtrockenrasen, Heiden, Vorwälder,</w:t>
      </w:r>
    </w:p>
    <w:p>
      <w:r>
        <w:t xml:space="preserve">Birken- Eichenwälder, Erlen-Eschenwälder,</w:t>
      </w:r>
    </w:p>
    <w:p>
      <w:r>
        <w:t xml:space="preserve">Erlenbruchwälder, Stieleichen-Hainbuchenwälder, kalkreichen Sümpfe,</w:t>
      </w:r>
    </w:p>
    <w:p>
      <w:r>
        <w:t xml:space="preserve">Feuchtwiesen sowie der Gräben und Kleingewässer;</w:t>
      </w:r>
    </w:p>
    <w:p>
      <w:r>
        <w:t xml:space="preserve">die Erhaltung</w:t>
      </w:r>
    </w:p>
    <w:p>
      <w:r>
        <w:t xml:space="preserve">und Entwicklung der Lebensräume wild lebender Pflanzenarten, darunter im Sinne</w:t>
      </w:r>
    </w:p>
    <w:p>
      <w:r>
        <w:t xml:space="preserve">von § 10 Absatz 2 Nummer 10 des Bundesnaturschutzgesetzes besonders geschützte</w:t>
      </w:r>
    </w:p>
    <w:p>
      <w:r>
        <w:t xml:space="preserve">Arten, insbesondere Gemeine Grasnelke (Armeria elongata), Karthäuser-Nelke</w:t>
      </w:r>
    </w:p>
    <w:p>
      <w:r>
        <w:t xml:space="preserve">(Dianthus carthusianorum), Pracht-Nelke (Dianthus superbus), Sand-Strohblume</w:t>
      </w:r>
    </w:p>
    <w:p>
      <w:r>
        <w:t xml:space="preserve">(Helichrysum arenarium), Sumpf-Wasserfeder (Hottonia palustris),</w:t>
      </w:r>
    </w:p>
    <w:p>
      <w:r>
        <w:t xml:space="preserve">Wasser-Schwertlilie (Iris pseudacorus) und Königs-Farn (Osmunda regalis);</w:t>
      </w:r>
    </w:p>
    <w:p>
      <w:r>
        <w:t xml:space="preserve">die Erhaltung</w:t>
      </w:r>
    </w:p>
    <w:p>
      <w:r>
        <w:t xml:space="preserve">und Entwicklung des Gebietes als Lebens- und Rückzugsraum sowie potenzielles</w:t>
      </w:r>
    </w:p>
    <w:p>
      <w:r>
        <w:t xml:space="preserve">Wiederausbreitungszentrum wild lebender Tierarten, insbesondere der Säugetiere,</w:t>
      </w:r>
    </w:p>
    <w:p>
      <w:r>
        <w:t xml:space="preserve">Vögel, Reptilien und Amphibien, darunter im Sinne von § 10 Absatz 2 Nummer 10</w:t>
      </w:r>
    </w:p>
    <w:p>
      <w:r>
        <w:t xml:space="preserve">und 11 des Bundesnaturschutzgesetzes besonders und streng geschützte Arten,</w:t>
      </w:r>
    </w:p>
    <w:p>
      <w:r>
        <w:t xml:space="preserve">insbesondere der Fledermäuse, Kranich (Grus grus), Rohrweihe (Circus</w:t>
      </w:r>
    </w:p>
    <w:p>
      <w:r>
        <w:t xml:space="preserve">aeruginosus), Ziegenmelker (Caprimulgus europaeus), Wiedehopf (Upupa epops),</w:t>
      </w:r>
    </w:p>
    <w:p>
      <w:r>
        <w:t xml:space="preserve">Erdkröte (Bufo bufo) und Zauneidechse (Lacerta agilis);</w:t>
      </w:r>
    </w:p>
    <w:p>
      <w:r>
        <w:t xml:space="preserve">die</w:t>
      </w:r>
    </w:p>
    <w:p>
      <w:r>
        <w:t xml:space="preserve">Beobachtung und wissenschaftliche Dokumentation dynamischer Prozesse von</w:t>
      </w:r>
    </w:p>
    <w:p>
      <w:r>
        <w:t xml:space="preserve">Waldflächen entsprechend ihrem standörtlichen Potenzial als Beitrag zur Sukzessions- und waldökologischen Grundlagenforschung;</w:t>
      </w:r>
    </w:p>
    <w:p>
      <w:r>
        <w:t xml:space="preserve">die Erhaltung</w:t>
      </w:r>
    </w:p>
    <w:p>
      <w:r>
        <w:t xml:space="preserve">und Entwicklung des Gebietes als wesentlicher Teil des regionalen</w:t>
      </w:r>
    </w:p>
    <w:p>
      <w:r>
        <w:t xml:space="preserve">Biotopverbundes zwischen der Nuthe-Notte-Niederung, dem Baruther Urstromtal und</w:t>
      </w:r>
    </w:p>
    <w:p>
      <w:r>
        <w:t xml:space="preserve">der Luckenwalder Heide.</w:t>
      </w:r>
    </w:p>
    <w:p>
      <w:r>
        <w:t xml:space="preserve">(2) Die Unterschutzstellung dient der Erhaltung und Entwicklung der Gebiete von</w:t>
      </w:r>
    </w:p>
    <w:p>
      <w:r>
        <w:t xml:space="preserve">gemeinschaftlicher Bedeutung „Kummersdorfer</w:t>
      </w:r>
    </w:p>
    <w:p>
      <w:r>
        <w:t xml:space="preserve">Heide/Breiter Steinbusch“ und „Kummersdorfer Heide/ Breiter Steinbusch</w:t>
      </w:r>
    </w:p>
    <w:p>
      <w:r>
        <w:t xml:space="preserve">Ergänzung“ (§ 2a Absatz 1 Nummer 8 des Brandenburgischen Naturschutzgesetzes)</w:t>
      </w:r>
    </w:p>
    <w:p>
      <w:r>
        <w:t xml:space="preserve">mit ihren Vorkommen von</w:t>
      </w:r>
    </w:p>
    <w:p>
      <w:r>
        <w:t xml:space="preserve">Dünen mit</w:t>
      </w:r>
    </w:p>
    <w:p>
      <w:r>
        <w:t xml:space="preserve">offenen Grasflächen mit Corynephorus (Silbergras) und Agrostis (Straußgras,</w:t>
      </w:r>
    </w:p>
    <w:p>
      <w:r>
        <w:t xml:space="preserve">Dünen im Binnenland), Trockenen europäischen Heiden, Pfeifengraswiesen auf</w:t>
      </w:r>
    </w:p>
    <w:p>
      <w:r>
        <w:t xml:space="preserve">kalkreichem Boden (Molinion caeruleae), Mageren Flachland-Mähwiesen mit</w:t>
      </w:r>
    </w:p>
    <w:p>
      <w:r>
        <w:t xml:space="preserve">Alopecurus pratensis (Wiesenfuchsschwanz), Sanguisorba officinalis (Großer</w:t>
      </w:r>
    </w:p>
    <w:p>
      <w:r>
        <w:t xml:space="preserve">Wiesenkopf), Übergangs- und Schwingrasenmooren, Subatlantischem oder</w:t>
      </w:r>
    </w:p>
    <w:p>
      <w:r>
        <w:t xml:space="preserve">mitteleuropäischem Stieleichenwald oder Hainbuchenwald (Carpinion betuli)</w:t>
      </w:r>
    </w:p>
    <w:p>
      <w:r>
        <w:t xml:space="preserve">(Stellario-Carpinetum), Alten bodensauren Eichenwäldern auf Sandebenen mit</w:t>
      </w:r>
    </w:p>
    <w:p>
      <w:r>
        <w:t xml:space="preserve">Quercus robur (Stieleiche) als Biotope von gemeinschaftlichem Interesse</w:t>
      </w:r>
    </w:p>
    <w:p>
      <w:r>
        <w:t xml:space="preserve">(„natürliche Lebensraumtypen“ im Sinne des Anhangs I der Richtlinie 92/43/EWG);</w:t>
      </w:r>
    </w:p>
    <w:p>
      <w:r>
        <w:t xml:space="preserve">Auen-Wäldern</w:t>
      </w:r>
    </w:p>
    <w:p>
      <w:r>
        <w:t xml:space="preserve">mit Alnus glutinosa (Schwarzerle) und Fraxinus excelsior (Gewöhnliche Esche)</w:t>
      </w:r>
    </w:p>
    <w:p>
      <w:r>
        <w:t xml:space="preserve">(Alno-Padion, Alnion incanae, Salicion albae) als prioritäres Biotop</w:t>
      </w:r>
    </w:p>
    <w:p>
      <w:r>
        <w:t xml:space="preserve">(„prioritärer Lebensraumtyp“ im Sinne des Anhangs I der Richtlinie 92/43/EWG);</w:t>
      </w:r>
    </w:p>
    <w:p>
      <w:r>
        <w:t xml:space="preserve">Fischotter</w:t>
      </w:r>
    </w:p>
    <w:p>
      <w:r>
        <w:t xml:space="preserve">(Lutra lutra), Mopsfledermaus (Barbastella barbastellus), Bechsteinfledermaus</w:t>
      </w:r>
    </w:p>
    <w:p>
      <w:r>
        <w:t xml:space="preserve">(Myotis bechsteinii) sowie Eichenbock (Cerambyx cerdo) und Großem Feuerfalter</w:t>
      </w:r>
    </w:p>
    <w:p>
      <w:r>
        <w:t xml:space="preserve">(Lycaena dispar) als Tierarten von gemeinschaftlichem In- teresse (im Sinne des Anhangs II der Richtlinie 92/43/EWG),</w:t>
      </w:r>
    </w:p>
    <w:p>
      <w:r>
        <w:t xml:space="preserve">einschließlich ihrer für Fortpflanzung, Ernährung, Wanderung und Überwinterung</w:t>
      </w:r>
    </w:p>
    <w:p>
      <w:r>
        <w:t xml:space="preserve">wichtigen Lebensräume;</w:t>
      </w:r>
    </w:p>
    <w:p>
      <w:r>
        <w:t xml:space="preserve">Eremit</w:t>
      </w:r>
    </w:p>
    <w:p>
      <w:r>
        <w:t xml:space="preserve">(Osmoderma eremita) als prioritäre Tierart von gemeinschaftlichem Interesse (im</w:t>
      </w:r>
    </w:p>
    <w:p>
      <w:r>
        <w:t xml:space="preserve">Sinne des Anhangs II der Richtlinie 92/43/EWG), einschließlich seines für</w:t>
      </w:r>
    </w:p>
    <w:p>
      <w:r>
        <w:t xml:space="preserve">Fortpflanzung, Ernährung und Überwinterung wichtigen Lebensraumes.</w:t>
      </w:r>
    </w:p>
    <w:p>
      <w:r>
        <w:rPr>
          <w:color w:val="555555"/>
          <w:sz w:val="17"/>
        </w:rPr>
        <w:t xml:space="preserve">Zitiervorschlag: § 3 VO-ID212422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