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VO-ID212418 (Brandenburg) — Befreiungen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</w:t>
      </w:r>
    </w:p>
    <w:p>
      <w:r>
        <w:t xml:space="preserve">Verboten dieser Verordnung kann die zuständige</w:t>
      </w:r>
    </w:p>
    <w:p>
      <w:r>
        <w:t xml:space="preserve">Naturschutzbehörde auf Antrag gemäß § 72 des Brandenburgischen</w:t>
      </w:r>
    </w:p>
    <w:p>
      <w:r>
        <w:t xml:space="preserve">Naturschutzgesetzes Befreiung gewähren.</w:t>
      </w:r>
    </w:p>
    <w:p>
      <w:r>
        <w:rPr>
          <w:color w:val="555555"/>
          <w:sz w:val="17"/>
        </w:rPr>
        <w:t xml:space="preserve">Zitiervorschlag: § 7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