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VO-ID212418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</w:t>
      </w:r>
    </w:p>
    <w:p>
      <w:r>
        <w:t xml:space="preserve">Pflege-, Entwicklungs- und Wiederherstellungsmaßnahmen werden als Zielvorgabe</w:t>
      </w:r>
    </w:p>
    <w:p>
      <w:r>
        <w:t xml:space="preserve">benannt:</w:t>
      </w:r>
    </w:p>
    <w:p>
      <w:r>
        <w:t xml:space="preserve">eine Verbuschung der Sand-Trockenrasen sowie der Wiesen und feuchten</w:t>
      </w:r>
    </w:p>
    <w:p>
      <w:r>
        <w:t xml:space="preserve">Hochstaudenfluren soll durch Entfernen von Gehölzen verhindert werden;</w:t>
      </w:r>
    </w:p>
    <w:p>
      <w:r>
        <w:t xml:space="preserve">feuchte</w:t>
      </w:r>
    </w:p>
    <w:p>
      <w:r>
        <w:t xml:space="preserve">Hochstaudenfluren sollen in mehrjährigem Abstand und nach dem 15. September</w:t>
      </w:r>
    </w:p>
    <w:p>
      <w:r>
        <w:t xml:space="preserve">eines jeden Jahres gemäht werden;</w:t>
      </w:r>
    </w:p>
    <w:p>
      <w:r>
        <w:t xml:space="preserve">die Nutzung</w:t>
      </w:r>
    </w:p>
    <w:p>
      <w:r>
        <w:t xml:space="preserve">von Feuchtgrünland im Bereich des ehemaligen Mühlensees soll erst ab dem 16.</w:t>
      </w:r>
    </w:p>
    <w:p>
      <w:r>
        <w:t xml:space="preserve">Juni eines jeden Jahres erfolgen, das Walzen und Schleppen soll dort im Zeitraum</w:t>
      </w:r>
    </w:p>
    <w:p>
      <w:r>
        <w:t xml:space="preserve">vom 31. März eines jeden Jahres bis zur ersten Nutzung unterbleiben;</w:t>
      </w:r>
    </w:p>
    <w:p>
      <w:r>
        <w:t xml:space="preserve">Feuchtwiesen</w:t>
      </w:r>
    </w:p>
    <w:p>
      <w:r>
        <w:t xml:space="preserve">nährstoffreicher Standorte (Kohldistelwiesen) sollen vorzugsweise durch Mahd</w:t>
      </w:r>
    </w:p>
    <w:p>
      <w:r>
        <w:t xml:space="preserve">genutzt werden;</w:t>
      </w:r>
    </w:p>
    <w:p>
      <w:r>
        <w:t xml:space="preserve">die</w:t>
      </w:r>
    </w:p>
    <w:p>
      <w:r>
        <w:t xml:space="preserve">Naturverjüngung der in § 3 genannten Waldgesellschaften soll durch Regulierung</w:t>
      </w:r>
    </w:p>
    <w:p>
      <w:r>
        <w:t xml:space="preserve">des Wildbestandes und, soweit notwendig, durch Zäunung gefördert werden;</w:t>
      </w:r>
    </w:p>
    <w:p>
      <w:r>
        <w:t xml:space="preserve">das Mühlenfließ (Mühlgraben) soll renaturiert werden;</w:t>
      </w:r>
    </w:p>
    <w:p>
      <w:r>
        <w:t xml:space="preserve">im Kersdorfer</w:t>
      </w:r>
    </w:p>
    <w:p>
      <w:r>
        <w:t xml:space="preserve">See sollen Bereiche mit Sand- bis Feinkiesgrund als Lebensräume für den</w:t>
      </w:r>
    </w:p>
    <w:p>
      <w:r>
        <w:t xml:space="preserve">Steinbeißer (Cobitis taenia) erhalten und wieder hergestellt werden;</w:t>
      </w:r>
    </w:p>
    <w:p>
      <w:r>
        <w:t xml:space="preserve">die Anzahl der</w:t>
      </w:r>
    </w:p>
    <w:p>
      <w:r>
        <w:t xml:space="preserve">Stege am Ostufer des Sees soll reduziert werden; dazu sollen bei Dorismühle und</w:t>
      </w:r>
    </w:p>
    <w:p>
      <w:r>
        <w:t xml:space="preserve">nördlich sowie nordwestlich der Kersdorfer Schleuse nahe der in der Kartenskizze</w:t>
      </w:r>
    </w:p>
    <w:p>
      <w:r>
        <w:t xml:space="preserve">gemäß § 2 Absatz 1 und in den topografischen Karten zur Verordnung gemäß § 2</w:t>
      </w:r>
    </w:p>
    <w:p>
      <w:r>
        <w:t xml:space="preserve">Absatz 2 gekennzeichneten Badestellen Gemeinschaftssteganlagen errichtet werden.</w:t>
      </w:r>
    </w:p>
    <w:p>
      <w:r>
        <w:rPr>
          <w:color w:val="555555"/>
          <w:sz w:val="17"/>
        </w:rPr>
        <w:t xml:space="preserve">Zitiervorschlag: § 6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