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VO-ID212418 (Brandenburg) — Zulässige Handlungen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Ausgenommen von den Verboten des § 4 bleiben folgende Handlungen:</w:t>
      </w:r>
    </w:p>
    <w:p>
      <w:r>
        <w:t xml:space="preserve">die den in §</w:t>
      </w:r>
    </w:p>
    <w:p>
      <w:r>
        <w:t xml:space="preserve">1b Absatz 4 des Brandenburgischen Naturschutzgesetzes genannten Anforderungen</w:t>
      </w:r>
    </w:p>
    <w:p>
      <w:r>
        <w:t xml:space="preserve">und Grundsätzen der guten fachlichen Praxis entsprechende landwirtschaftliche</w:t>
      </w:r>
    </w:p>
    <w:p>
      <w:r>
        <w:t xml:space="preserve">Bodennutzung in der bisherigen Art und im bisherigen Umfang auf den bisher</w:t>
      </w:r>
    </w:p>
    <w:p>
      <w:r>
        <w:t xml:space="preserve">rechtmäßig dafür genutzten Flächen mit der Maßgabe, dass</w:t>
      </w:r>
    </w:p>
    <w:p>
      <w:r>
        <w:t xml:space="preserve">Grünland als Wiese oder Weide genutzt wird</w:t>
      </w:r>
    </w:p>
    <w:p>
      <w:r>
        <w:t xml:space="preserve">und die jährliche Zufuhr an Pflanzennährstoffen über Dünger</w:t>
      </w:r>
    </w:p>
    <w:p>
      <w:r>
        <w:t xml:space="preserve">inklusive Exkrementen von Weidetieren je Hektar Grünland die Menge nicht</w:t>
      </w:r>
    </w:p>
    <w:p>
      <w:r>
        <w:t xml:space="preserve">überschreitet, die dem Nährstoffäquivalent des Dunganfalls von 1,4</w:t>
      </w:r>
    </w:p>
    <w:p>
      <w:r>
        <w:t xml:space="preserve">Großvieheinheiten (GVE) entspricht, ohne chemisch-synthetische</w:t>
      </w:r>
    </w:p>
    <w:p>
      <w:r>
        <w:t xml:space="preserve">Stickstoffdüngemittel, Gülle und Sekundärrohstoffdünger wie zum Beispiel</w:t>
      </w:r>
    </w:p>
    <w:p>
      <w:r>
        <w:t xml:space="preserve">Abwasser oder Klärschlamm einzusetzen,</w:t>
      </w:r>
    </w:p>
    <w:p>
      <w:r>
        <w:t xml:space="preserve">§ 4 Absatz 2</w:t>
      </w:r>
    </w:p>
    <w:p>
      <w:r>
        <w:t xml:space="preserve">Nummer 24 und 25 gilt,</w:t>
      </w:r>
    </w:p>
    <w:p>
      <w:r>
        <w:t xml:space="preserve">Gehölze in</w:t>
      </w:r>
    </w:p>
    <w:p>
      <w:r>
        <w:t xml:space="preserve">geeigneter Weise gegen Verbiss und sonstige Beschädigungen sowie Ränder von</w:t>
      </w:r>
    </w:p>
    <w:p>
      <w:r>
        <w:t xml:space="preserve">Gewässern wirksam gegen Trittschäden von weidenden Nutztieren geschützt</w:t>
      </w:r>
    </w:p>
    <w:p>
      <w:r>
        <w:t xml:space="preserve">werden. Das Tränken von Weidevieh am Mühlenfließ (Mühlgraben) ist nur an</w:t>
      </w:r>
    </w:p>
    <w:p>
      <w:r>
        <w:t xml:space="preserve">den in den topografischen Karten zur Verordnung gemäß § 2 Absatz 2</w:t>
      </w:r>
    </w:p>
    <w:p>
      <w:r>
        <w:t xml:space="preserve">eingezeichneten Tränkstellen zulässig;</w:t>
      </w:r>
    </w:p>
    <w:p>
      <w:r>
        <w:t xml:space="preserve">die den in §</w:t>
      </w:r>
    </w:p>
    <w:p>
      <w:r>
        <w:t xml:space="preserve">1b Absatz 5 des Brandenburgischen Naturschutzgesetzes genannten Anforderungen</w:t>
      </w:r>
    </w:p>
    <w:p>
      <w:r>
        <w:t xml:space="preserve">entsprechende forstwirtschaftliche Bodennutzung in der bisherigen Art und im</w:t>
      </w:r>
    </w:p>
    <w:p>
      <w:r>
        <w:t xml:space="preserve">bisherigen Umfang auf den bisher rechtmäßig dafür genutzten Flächen mit der</w:t>
      </w:r>
    </w:p>
    <w:p>
      <w:r>
        <w:t xml:space="preserve">Maßgabe, dass</w:t>
      </w:r>
    </w:p>
    <w:p>
      <w:r>
        <w:t xml:space="preserve">die Nutzung</w:t>
      </w:r>
    </w:p>
    <w:p>
      <w:r>
        <w:t xml:space="preserve">der in § 3 Absatz 1 Nummer 1 und Absatz 2 Nummer 1 und 2 genannten</w:t>
      </w:r>
    </w:p>
    <w:p>
      <w:r>
        <w:t xml:space="preserve">Waldgesellschaften ausschließlich einzelstamm- oder truppweise erfolgt,</w:t>
      </w:r>
    </w:p>
    <w:p>
      <w:r>
        <w:t xml:space="preserve">in den in § 3</w:t>
      </w:r>
    </w:p>
    <w:p>
      <w:r>
        <w:t xml:space="preserve">Absatz 2 Nummer 1 und 2 genannten Waldgesellschaften die Walderneuerung durch</w:t>
      </w:r>
    </w:p>
    <w:p>
      <w:r>
        <w:t xml:space="preserve">Naturverjüngung erfolgt und auf den übrigen Waldflächen nur Arten der</w:t>
      </w:r>
    </w:p>
    <w:p>
      <w:r>
        <w:t xml:space="preserve">potenziellen natürlichen Vegetation eingebracht werden dürfen, wobei nur</w:t>
      </w:r>
    </w:p>
    <w:p>
      <w:r>
        <w:t xml:space="preserve">heimische Baumarten unter Ausschluss eingebürgerter Arten zu verwenden sind.</w:t>
      </w:r>
    </w:p>
    <w:p>
      <w:r>
        <w:t xml:space="preserve">Nebenbaumarten dürfen dabei nicht als Hauptbaumart eingesetzt werden,</w:t>
      </w:r>
    </w:p>
    <w:p>
      <w:r>
        <w:t xml:space="preserve">ein</w:t>
      </w:r>
    </w:p>
    <w:p>
      <w:r>
        <w:t xml:space="preserve">Altholzanteil von mindestens zehn Prozent am</w:t>
      </w:r>
    </w:p>
    <w:p>
      <w:r>
        <w:t xml:space="preserve">aktuellen Bestandsvorrat zu sichern ist,</w:t>
      </w:r>
    </w:p>
    <w:p>
      <w:r>
        <w:t xml:space="preserve">mindestens</w:t>
      </w:r>
    </w:p>
    <w:p>
      <w:r>
        <w:t xml:space="preserve">fünf Stämme je Hektar mit einem Mindestdurchmesser von 30 Zentimetern in 1,30</w:t>
      </w:r>
    </w:p>
    <w:p>
      <w:r>
        <w:t xml:space="preserve">Meter Höhe über dem Stammfuß bis zum Absterben aus der Nutzung genommen sein</w:t>
      </w:r>
    </w:p>
    <w:p>
      <w:r>
        <w:t xml:space="preserve">müssen,</w:t>
      </w:r>
    </w:p>
    <w:p>
      <w:r>
        <w:t xml:space="preserve">je Hektar</w:t>
      </w:r>
    </w:p>
    <w:p>
      <w:r>
        <w:t xml:space="preserve">mindestens fünf Stück stehendes Totholz (mehr als 30 Zentimeter Durchmesser in</w:t>
      </w:r>
    </w:p>
    <w:p>
      <w:r>
        <w:t xml:space="preserve">1,30 Meter Höhe über dem Stammfuß) nicht gefällt werden und liegendes Totholz</w:t>
      </w:r>
    </w:p>
    <w:p>
      <w:r>
        <w:t xml:space="preserve">(ganze Bäume mit Durchmesser über</w:t>
      </w:r>
    </w:p>
    <w:p>
      <w:r>
        <w:t xml:space="preserve">65 Zentimetern am stärksten Ende) im Bestand verbleibt,</w:t>
      </w:r>
    </w:p>
    <w:p>
      <w:r>
        <w:t xml:space="preserve">hydromorphe</w:t>
      </w:r>
    </w:p>
    <w:p>
      <w:r>
        <w:t xml:space="preserve">Böden nur bei Frost befahren werden,</w:t>
      </w:r>
    </w:p>
    <w:p>
      <w:r>
        <w:t xml:space="preserve">§ 4 Absatz 2</w:t>
      </w:r>
    </w:p>
    <w:p>
      <w:r>
        <w:t xml:space="preserve">Nummer 24 gilt;</w:t>
      </w:r>
    </w:p>
    <w:p>
      <w:r>
        <w:t xml:space="preserve">die den in §</w:t>
      </w:r>
    </w:p>
    <w:p>
      <w:r>
        <w:t xml:space="preserve">1b Absatz 6 des Brandenburgischen Naturschutzgesetzes genannten Anforderungen in</w:t>
      </w:r>
    </w:p>
    <w:p>
      <w:r>
        <w:t xml:space="preserve">Verbindung mit dem Fischereigesetz für das Land Brandenburg entsprechende</w:t>
      </w:r>
    </w:p>
    <w:p>
      <w:r>
        <w:t xml:space="preserve">fischereiwirtschaftliche Flächennutzung mit der Maßgabe, dass</w:t>
      </w:r>
    </w:p>
    <w:p>
      <w:r>
        <w:t xml:space="preserve">Fanggeräte und</w:t>
      </w:r>
    </w:p>
    <w:p>
      <w:r>
        <w:t xml:space="preserve">Fangmittel so einzusetzen oder auszustatten sind, dass eine Gefährdung des</w:t>
      </w:r>
    </w:p>
    <w:p>
      <w:r>
        <w:t xml:space="preserve">Fischotters und Bibers weitgehend ausgeschlossen ist,</w:t>
      </w:r>
    </w:p>
    <w:p>
      <w:r>
        <w:t xml:space="preserve">der</w:t>
      </w:r>
    </w:p>
    <w:p>
      <w:r>
        <w:t xml:space="preserve">Fischbesatz nur mit heimischen Arten erfolgt und dabei eine Gefährdung der in §</w:t>
      </w:r>
    </w:p>
    <w:p>
      <w:r>
        <w:t xml:space="preserve">3 Absatz 2 Nummer 3 genannten Arten ausgeschlossen ist; § 13 der</w:t>
      </w:r>
    </w:p>
    <w:p>
      <w:r>
        <w:t xml:space="preserve">Brandenburgischen Fischereiordnung bleibt unberührt,</w:t>
      </w:r>
    </w:p>
    <w:p>
      <w:r>
        <w:t xml:space="preserve">Hegepläne</w:t>
      </w:r>
    </w:p>
    <w:p>
      <w:r>
        <w:t xml:space="preserve">einvernehmlich mit der unteren Naturschutzbehörde abzustimmen sind;</w:t>
      </w:r>
    </w:p>
    <w:p>
      <w:r>
        <w:t xml:space="preserve">die</w:t>
      </w:r>
    </w:p>
    <w:p>
      <w:r>
        <w:t xml:space="preserve">rechtmäßige Ausübung der Angelfischerei mit der Maßgabe, dass</w:t>
      </w:r>
    </w:p>
    <w:p>
      <w:r>
        <w:t xml:space="preserve">§ 4 Absatz 2</w:t>
      </w:r>
    </w:p>
    <w:p>
      <w:r>
        <w:t xml:space="preserve">Nummer 20 und 21 gilt,</w:t>
      </w:r>
    </w:p>
    <w:p>
      <w:r>
        <w:t xml:space="preserve">das Angeln vom</w:t>
      </w:r>
    </w:p>
    <w:p>
      <w:r>
        <w:t xml:space="preserve">Land aus nur von Stegen und an den in der Kartenskizze gemäß § 2 Absatz 1 und in</w:t>
      </w:r>
    </w:p>
    <w:p>
      <w:r>
        <w:t xml:space="preserve">den topografischen Karten zur Verordnung gemäß § 2 Absatz 2 gekennzeichneten</w:t>
      </w:r>
    </w:p>
    <w:p>
      <w:r>
        <w:t xml:space="preserve">Badestellen zulässig ist,</w:t>
      </w:r>
    </w:p>
    <w:p>
      <w:r>
        <w:t xml:space="preserve">für das Angeln vom Wasser aus § 4 Absatz 2</w:t>
      </w:r>
    </w:p>
    <w:p>
      <w:r>
        <w:t xml:space="preserve">Nummer 13 und 14 gilt;</w:t>
      </w:r>
    </w:p>
    <w:p>
      <w:r>
        <w:t xml:space="preserve">für den</w:t>
      </w:r>
    </w:p>
    <w:p>
      <w:r>
        <w:t xml:space="preserve">Bereich der Jagd:</w:t>
      </w:r>
    </w:p>
    <w:p>
      <w:r>
        <w:t xml:space="preserve">die</w:t>
      </w:r>
    </w:p>
    <w:p>
      <w:r>
        <w:t xml:space="preserve">rechtmäßige Ausübung der Jagd mit der Maßgabe, dass</w:t>
      </w:r>
    </w:p>
    <w:p>
      <w:r>
        <w:t xml:space="preserve">aa) die Fallenjagd</w:t>
      </w:r>
    </w:p>
    <w:p>
      <w:r>
        <w:t xml:space="preserve">nur mit Lebendfallen erfolgt,</w:t>
      </w:r>
    </w:p>
    <w:p>
      <w:r>
        <w:t xml:space="preserve">bb) keine Baujagd</w:t>
      </w:r>
    </w:p>
    <w:p>
      <w:r>
        <w:t xml:space="preserve">in einem Abstand von 100 Metern zu Gewässerufern vorgenommen wird,</w:t>
      </w:r>
    </w:p>
    <w:p>
      <w:r>
        <w:t xml:space="preserve">die Errichtung ortsunveränderlicher jagdlicher Einrichtungen zur Ansitzjagd außerhalb</w:t>
      </w:r>
    </w:p>
    <w:p>
      <w:r>
        <w:t xml:space="preserve">gesetzlich geschützter Biotope,</w:t>
      </w:r>
    </w:p>
    <w:p>
      <w:r>
        <w:t xml:space="preserve">der Einsatz</w:t>
      </w:r>
    </w:p>
    <w:p>
      <w:r>
        <w:t xml:space="preserve">transportabler und mobiler Ansitzeinrichtungen außerhalb der Seggenriede,</w:t>
      </w:r>
    </w:p>
    <w:p>
      <w:r>
        <w:t xml:space="preserve">Feuchtwiesen, Röhrichte und feuchten Hochstaudenfluren,</w:t>
      </w:r>
    </w:p>
    <w:p>
      <w:r>
        <w:t xml:space="preserve">die Anlage von Kirrungen, außerhalb gesetzlich geschützter Biotope.</w:t>
      </w:r>
    </w:p>
    <w:p>
      <w:r>
        <w:t xml:space="preserve">Die Anlage</w:t>
      </w:r>
    </w:p>
    <w:p>
      <w:r>
        <w:t xml:space="preserve">von Ansaatwildwiesen und Wildäckern bleibt unzulässig;</w:t>
      </w:r>
    </w:p>
    <w:p>
      <w:r>
        <w:t xml:space="preserve">das Lagern auf</w:t>
      </w:r>
    </w:p>
    <w:p>
      <w:r>
        <w:t xml:space="preserve">der Wiese an der in der Kartenskizze gemäß § 2 Absatz 1 und in der</w:t>
      </w:r>
    </w:p>
    <w:p>
      <w:r>
        <w:t xml:space="preserve">topografischen Karten zur Verordnung (Blatt 2) gemäß § 2 Absatz 2</w:t>
      </w:r>
    </w:p>
    <w:p>
      <w:r>
        <w:t xml:space="preserve">gekennzeichneten Badestelle bei der Wochenendhaussiedlung Dorismühle;</w:t>
      </w:r>
    </w:p>
    <w:p>
      <w:r>
        <w:t xml:space="preserve">die im Sinne</w:t>
      </w:r>
    </w:p>
    <w:p>
      <w:r>
        <w:t xml:space="preserve">des § 10 des Brandenburgischen Straßen gesetzes</w:t>
      </w:r>
    </w:p>
    <w:p>
      <w:r>
        <w:t xml:space="preserve">ordnungsgemäße Unterhaltung der dem öffentlichen Verkehr gewidmeten</w:t>
      </w:r>
    </w:p>
    <w:p>
      <w:r>
        <w:t xml:space="preserve">Straßen und Wege sowie die ordnungsgemäße Unterhaltung sonstiger rechtmäßig</w:t>
      </w:r>
    </w:p>
    <w:p>
      <w:r>
        <w:t xml:space="preserve">bestehender Anlagen, jeweils im Einvernehmen mit der unteren</w:t>
      </w:r>
    </w:p>
    <w:p>
      <w:r>
        <w:t xml:space="preserve">Naturschutzbehörde;</w:t>
      </w:r>
    </w:p>
    <w:p>
      <w:r>
        <w:t xml:space="preserve">die im Sinne</w:t>
      </w:r>
    </w:p>
    <w:p>
      <w:r>
        <w:t xml:space="preserve">des § 28 des Wasserhaushaltsgesetzes und des § 78 des Brandenburgischen</w:t>
      </w:r>
    </w:p>
    <w:p>
      <w:r>
        <w:t xml:space="preserve">Wassergesetzes ordnungsgemäße Unterhaltung der Gewässer sowie die ordnungsgemäße</w:t>
      </w:r>
    </w:p>
    <w:p>
      <w:r>
        <w:t xml:space="preserve">Unterhaltung der Spree-Oder-Wasserstraße, die den in § 3 aufgeführten</w:t>
      </w:r>
    </w:p>
    <w:p>
      <w:r>
        <w:t xml:space="preserve">Schutzgütern nicht entgegensteht;</w:t>
      </w:r>
    </w:p>
    <w:p>
      <w:r>
        <w:t xml:space="preserve">der Betrieb</w:t>
      </w:r>
    </w:p>
    <w:p>
      <w:r>
        <w:t xml:space="preserve">von Anlagen für die öffentliche Wasserversorgung, von Abwasseranlagen, von</w:t>
      </w:r>
    </w:p>
    <w:p>
      <w:r>
        <w:t xml:space="preserve">Messanlagen (Pegel-, Abfluss- und andere Messstellen) und sonstiger</w:t>
      </w:r>
    </w:p>
    <w:p>
      <w:r>
        <w:t xml:space="preserve">wasserwirtschaftlicher Anlagen in der bisherigen Art und im bisherigen Umfang.</w:t>
      </w:r>
    </w:p>
    <w:p>
      <w:r>
        <w:t xml:space="preserve">Die ordnungsgemäße Unterhaltung dieser Anlagen bleibt im Einvernehmen mit der</w:t>
      </w:r>
    </w:p>
    <w:p>
      <w:r>
        <w:t xml:space="preserve">unteren Naturschutzbehörde zulässig. Das Einvernehmen über regelmäßig</w:t>
      </w:r>
    </w:p>
    <w:p>
      <w:r>
        <w:t xml:space="preserve">wiederkehrende Unterhaltungsarbeiten kann durch langfristig gültige</w:t>
      </w:r>
    </w:p>
    <w:p>
      <w:r>
        <w:t xml:space="preserve">Vereinbarungen hergestellt werden;</w:t>
      </w:r>
    </w:p>
    <w:p>
      <w:r>
        <w:t xml:space="preserve">die sonstigen</w:t>
      </w:r>
    </w:p>
    <w:p>
      <w:r>
        <w:t xml:space="preserve">bei Inkrafttreten dieser Verordnung auf Grund behördlicher</w:t>
      </w:r>
    </w:p>
    <w:p>
      <w:r>
        <w:t xml:space="preserve">Einzelfallentscheidung rechtmäßig ausgeübten Nutzungen und Befugnisse in der</w:t>
      </w:r>
    </w:p>
    <w:p>
      <w:r>
        <w:t xml:space="preserve">bisherigen Art und im bisherigen Umfang;</w:t>
      </w:r>
    </w:p>
    <w:p>
      <w:r>
        <w:t xml:space="preserve">Maßnahmen zur</w:t>
      </w:r>
    </w:p>
    <w:p>
      <w:r>
        <w:t xml:space="preserve">Untersuchung von altlastverdächtigen Flächen und Verdachtsflächen sowie</w:t>
      </w:r>
    </w:p>
    <w:p>
      <w:r>
        <w:t xml:space="preserve">Maßnahmen der Altlastensanierung und der Sanierung schädlicher Bodenveränderungen gemäß Bundes-Bodenschutzgesetz sowie Maßnahmen der</w:t>
      </w:r>
    </w:p>
    <w:p>
      <w:r>
        <w:t xml:space="preserve">Munitionsräumung im Einvernehmen mit der unteren Naturschutzbehörde;</w:t>
      </w:r>
    </w:p>
    <w:p>
      <w:r>
        <w:t xml:space="preserve">Schutz-, Pflege-, Entwicklungs- und</w:t>
      </w:r>
    </w:p>
    <w:p>
      <w:r>
        <w:t xml:space="preserve">Wiederherstellungsmaßn ahmen, die von der unteren Naturschutzbehörde</w:t>
      </w:r>
    </w:p>
    <w:p>
      <w:r>
        <w:t xml:space="preserve">gebilligt oder angeordnet worden sind;</w:t>
      </w:r>
    </w:p>
    <w:p>
      <w:r>
        <w:t xml:space="preserve">das</w:t>
      </w:r>
    </w:p>
    <w:p>
      <w:r>
        <w:t xml:space="preserve">nichtgewerbliche Sammeln von Pilzen und Wildfrüchten nach dem 31. August eines</w:t>
      </w:r>
    </w:p>
    <w:p>
      <w:r>
        <w:t xml:space="preserve">jeden Jahres;</w:t>
      </w:r>
    </w:p>
    <w:p>
      <w:r>
        <w:t xml:space="preserve">behördliche</w:t>
      </w:r>
    </w:p>
    <w:p>
      <w:r>
        <w:t xml:space="preserve">sowie behördlich angeordnete oder zugelassene Beschilderungen, soweit sie auf</w:t>
      </w:r>
    </w:p>
    <w:p>
      <w:r>
        <w:t xml:space="preserve">den Schutzzweck des Gebietes hinweisen oder als hoheitliche Kennzeichnungen,</w:t>
      </w:r>
    </w:p>
    <w:p>
      <w:r>
        <w:t xml:space="preserve">Orts- oder Verkehrshinweise, Wegemarkierungen oder Warntafeln dienen. Darüber</w:t>
      </w:r>
    </w:p>
    <w:p>
      <w:r>
        <w:t xml:space="preserve">hinaus sind nichtamtliche Hinweisschilder zum Fremdenverkehr im Sinne der</w:t>
      </w:r>
    </w:p>
    <w:p>
      <w:r>
        <w:t xml:space="preserve">Richtlinie des Ministeriums für Infrastruktur und Raumordnung zur Aufstellung</w:t>
      </w:r>
    </w:p>
    <w:p>
      <w:r>
        <w:t xml:space="preserve">nichtamtlicher Hinweiszeichen an Bundes-, Landes- und Kreisstraßen im Land</w:t>
      </w:r>
    </w:p>
    <w:p>
      <w:r>
        <w:t xml:space="preserve">Brandenburg (Hinweis-Z.Ri) vom 24. Juli 2007 (ABl. S. 1734) an Straßen und Wegen</w:t>
      </w:r>
    </w:p>
    <w:p>
      <w:r>
        <w:t xml:space="preserve">freigestellt;</w:t>
      </w:r>
    </w:p>
    <w:p>
      <w:r>
        <w:t xml:space="preserve">Maßnahmen, die</w:t>
      </w:r>
    </w:p>
    <w:p>
      <w:r>
        <w:t xml:space="preserve">der 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</w:t>
      </w:r>
    </w:p>
    <w:p>
      <w:r>
        <w:t xml:space="preserve">für das Betreten und Befahren des Naturschutzgebietes enthaltenen</w:t>
      </w:r>
    </w:p>
    <w:p>
      <w:r>
        <w:t xml:space="preserve">Einschränkungen gelten nicht für die Dienstkräfte der Naturschutzbehörden, die</w:t>
      </w:r>
    </w:p>
    <w:p>
      <w:r>
        <w:t xml:space="preserve">zuständigen Naturschutzhelfer und sonstige von den Naturschutzbehörden</w:t>
      </w:r>
    </w:p>
    <w:p>
      <w:r>
        <w:t xml:space="preserve">beauftragte Personen sowie für Dienstkräfte und beauftragte Personen anderer</w:t>
      </w:r>
    </w:p>
    <w:p>
      <w:r>
        <w:t xml:space="preserve">zuständiger Behörden und Einrichtungen, soweit diese in Wahrnehmung ihrer</w:t>
      </w:r>
    </w:p>
    <w:p>
      <w:r>
        <w:t xml:space="preserve">gesetzlichen Aufgaben handeln. Sie gelten unbeschadet anderer Regelungen</w:t>
      </w:r>
    </w:p>
    <w:p>
      <w:r>
        <w:t xml:space="preserve">weiterhin nicht für Eigentümer zur Durchführung von Maßnahmen zur Sicherung des</w:t>
      </w:r>
    </w:p>
    <w:p>
      <w:r>
        <w:t xml:space="preserve">Bestandes und der zulässigen Nutzung des Eigentums</w:t>
      </w:r>
    </w:p>
    <w:p>
      <w:r>
        <w:t xml:space="preserve">sowie für das Betreten und Befahren, soweit dies zur Ausübung der nach Absatz 1</w:t>
      </w:r>
    </w:p>
    <w:p>
      <w:r>
        <w:t xml:space="preserve">zulässigen Handlungen erforderlich ist. Das Gestattungserfordernis nach § 16</w:t>
      </w:r>
    </w:p>
    <w:p>
      <w:r>
        <w:t xml:space="preserve">Absatz 2 des Waldgesetzes des Landes Brandenburg bleibt unberührt.</w:t>
      </w:r>
    </w:p>
    <w:p>
      <w:r>
        <w:rPr>
          <w:color w:val="555555"/>
          <w:sz w:val="17"/>
        </w:rPr>
        <w:t xml:space="preserve">Zitiervorschlag: § 5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