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VO-ID212418 (Brandenburg) — Schutzzweck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Schutzzweck des Naturschutzgebietes, das den Kersdorfer See und den angrenzenden</w:t>
      </w:r>
    </w:p>
    <w:p>
      <w:r>
        <w:t xml:space="preserve">Talraum im Auslauf einer eiszeitlichen Schmelzwasserrinne in der</w:t>
      </w:r>
    </w:p>
    <w:p>
      <w:r>
        <w:t xml:space="preserve">Berlin-Fürstenwalder Spreetalniederung umfasst, ist</w:t>
      </w:r>
    </w:p>
    <w:p>
      <w:r>
        <w:t xml:space="preserve">die Erhaltung</w:t>
      </w:r>
    </w:p>
    <w:p>
      <w:r>
        <w:t xml:space="preserve">und Entwicklung der Lebensräume wild lebender Pflanzengesellschaften,</w:t>
      </w:r>
    </w:p>
    <w:p>
      <w:r>
        <w:t xml:space="preserve">insbesondere der Seggenrieder, Feuchtwiesen und -weiden, Röhrichte, der</w:t>
      </w:r>
    </w:p>
    <w:p>
      <w:r>
        <w:t xml:space="preserve">naturnahen Still- und Fließgewässer, der Erlen-Bruchwälder sowie der</w:t>
      </w:r>
    </w:p>
    <w:p>
      <w:r>
        <w:t xml:space="preserve">silbergrasreichen Pionierfluren;</w:t>
      </w:r>
    </w:p>
    <w:p>
      <w:r>
        <w:t xml:space="preserve">die Erhaltung</w:t>
      </w:r>
    </w:p>
    <w:p>
      <w:r>
        <w:t xml:space="preserve">und Entwicklung der Lebensräume wild lebender Pflanzenarten, darunter im Sinne</w:t>
      </w:r>
    </w:p>
    <w:p>
      <w:r>
        <w:t xml:space="preserve">von § 10 Absatz 2 Nummer 10 des Bundesnaturschutzgesetzes besonders</w:t>
      </w:r>
    </w:p>
    <w:p>
      <w:r>
        <w:t xml:space="preserve">geschützte Arten, beispielsweise Sumpf-Platterbse (Lathyrus palustris),</w:t>
      </w:r>
    </w:p>
    <w:p>
      <w:r>
        <w:t xml:space="preserve">Sumpf-Calla (Calla palustris) und Krebsschere (Stratiotes aloides);</w:t>
      </w:r>
    </w:p>
    <w:p>
      <w:r>
        <w:t xml:space="preserve">die Erhaltung</w:t>
      </w:r>
    </w:p>
    <w:p>
      <w:r>
        <w:t xml:space="preserve">und Entwicklung des Gebietes als Lebens- und Rückzugsraum sowie potenzielles</w:t>
      </w:r>
    </w:p>
    <w:p>
      <w:r>
        <w:t xml:space="preserve">Wiederausbreitungszentrum wild lebender Tierarten, insbesondere der Säugetiere,</w:t>
      </w:r>
    </w:p>
    <w:p>
      <w:r>
        <w:t xml:space="preserve">Vögel, Amphibien und Fische, darunter im Sinne von § 10 Absatz 2 Nummer 10 und</w:t>
      </w:r>
    </w:p>
    <w:p>
      <w:r>
        <w:t xml:space="preserve">11 des Bundesnaturschutzgesetzes besonders und streng geschützte Arten,</w:t>
      </w:r>
    </w:p>
    <w:p>
      <w:r>
        <w:t xml:space="preserve">insbesondere Großer Abendsegler (Nyctalus noctula), Wasserfledermaus (Myotis</w:t>
      </w:r>
    </w:p>
    <w:p>
      <w:r>
        <w:t xml:space="preserve">daubentonii), Fischadler (Pandion haliaetus), Kranich (Grus grus), Bekassine</w:t>
      </w:r>
    </w:p>
    <w:p>
      <w:r>
        <w:t xml:space="preserve">(Gallinago gallinago), Schellente (Bucephala clangula), Drosselrohrsänger</w:t>
      </w:r>
    </w:p>
    <w:p>
      <w:r>
        <w:t xml:space="preserve">(Acrocephalus arundinaceus), Trauerseeschwalbe (Chlidonias</w:t>
      </w:r>
    </w:p>
    <w:p>
      <w:r>
        <w:t xml:space="preserve">niger), Schwarzspecht (Dryocopus martius) und Neuntöter (Lanius collurio);</w:t>
      </w:r>
    </w:p>
    <w:p>
      <w:r>
        <w:t xml:space="preserve">die Erhaltung</w:t>
      </w:r>
    </w:p>
    <w:p>
      <w:r>
        <w:t xml:space="preserve">der Lebensräume einer Verlandungsserie aus wissenschaftlichen Gründen zur</w:t>
      </w:r>
    </w:p>
    <w:p>
      <w:r>
        <w:t xml:space="preserve">Beobachtung und Erforschung der Pflanzen- und Tierwelt, der limnologischen</w:t>
      </w:r>
    </w:p>
    <w:p>
      <w:r>
        <w:t xml:space="preserve">Prozesse, des Gewässerhaushalts und der Landschaftsentwicklung;</w:t>
      </w:r>
    </w:p>
    <w:p>
      <w:r>
        <w:t xml:space="preserve">die Erhaltung</w:t>
      </w:r>
    </w:p>
    <w:p>
      <w:r>
        <w:t xml:space="preserve">der durch den See und die angrenzende Niederung geprägten Landschaft wegen ihrer</w:t>
      </w:r>
    </w:p>
    <w:p>
      <w:r>
        <w:t xml:space="preserve">Vielfalt, besonderen Eigenart und hervorragenden Schönheit;</w:t>
      </w:r>
    </w:p>
    <w:p>
      <w:r>
        <w:t xml:space="preserve">die Erhaltung</w:t>
      </w:r>
    </w:p>
    <w:p>
      <w:r>
        <w:t xml:space="preserve">und Entwicklung des Gebietes als wesentlicher Teil des regionalen</w:t>
      </w:r>
    </w:p>
    <w:p>
      <w:r>
        <w:t xml:space="preserve">Biotopverbundes zwischen dem Spree- und dem Odertal im Bereich der</w:t>
      </w:r>
    </w:p>
    <w:p>
      <w:r>
        <w:t xml:space="preserve">Madlitz-Falkenhagener Seenkette.</w:t>
      </w:r>
    </w:p>
    <w:p>
      <w:r>
        <w:t xml:space="preserve">(2) Die</w:t>
      </w:r>
    </w:p>
    <w:p>
      <w:r>
        <w:t xml:space="preserve">Unterschutzstellung dient der Erhaltung und Entwicklung des Gebietes von</w:t>
      </w:r>
    </w:p>
    <w:p>
      <w:r>
        <w:t xml:space="preserve">gemeinschaftlicher Bedeutung „Kersdorfer See“ (§ 2a Absatz 1 Nummer 8 des</w:t>
      </w:r>
    </w:p>
    <w:p>
      <w:r>
        <w:t xml:space="preserve">Brandenburgischen Naturschutzgesetzes) mit seinem Vorkommen von</w:t>
      </w:r>
    </w:p>
    <w:p>
      <w:r>
        <w:t xml:space="preserve">natürlichen</w:t>
      </w:r>
    </w:p>
    <w:p>
      <w:r>
        <w:t xml:space="preserve">eutrophen Seen mit einer Vegetation des Magnopotamions oder Hydrocharitions,</w:t>
      </w:r>
    </w:p>
    <w:p>
      <w:r>
        <w:t xml:space="preserve">Flüssen der planaren Stufe mit Vegetation des Ranunculion fluitantis und des</w:t>
      </w:r>
    </w:p>
    <w:p>
      <w:r>
        <w:t xml:space="preserve">Callitricho-Batrachion, feuchten Hochstaudenfluren der planaren Stufe und alten</w:t>
      </w:r>
    </w:p>
    <w:p>
      <w:r>
        <w:t xml:space="preserve">bodensauren Eichenwäldern auf Sandebenen mit Quercus robur (Stiel-Eiche) als</w:t>
      </w:r>
    </w:p>
    <w:p>
      <w:r>
        <w:t xml:space="preserve">Biotope von gemeinschaftlichem Interesse („natürliche Lebensraumtypen“ im Sinne</w:t>
      </w:r>
    </w:p>
    <w:p>
      <w:r>
        <w:t xml:space="preserve">des Anhangs I der Richtlinie 92/43/EWG);</w:t>
      </w:r>
    </w:p>
    <w:p>
      <w:r>
        <w:t xml:space="preserve">Auen-Wäldern</w:t>
      </w:r>
    </w:p>
    <w:p>
      <w:r>
        <w:t xml:space="preserve">mit Alnus glutinosa (Schwarz-Erle) und Fraxinus excelsior (Gewöhnliche Esche)</w:t>
      </w:r>
    </w:p>
    <w:p>
      <w:r>
        <w:t xml:space="preserve">(Alno-Padion,</w:t>
      </w:r>
    </w:p>
    <w:p>
      <w:r>
        <w:t xml:space="preserve">Alnion incanae, Salicion albae) und trockenen, kalkreichen Sandrasen als</w:t>
      </w:r>
    </w:p>
    <w:p>
      <w:r>
        <w:t xml:space="preserve">prioritäre Biotope („prioritäre Lebensraumtypen“ im Sinne des Anhangs I der</w:t>
      </w:r>
    </w:p>
    <w:p>
      <w:r>
        <w:t xml:space="preserve">Richtlinie 92/43/EWG);</w:t>
      </w:r>
    </w:p>
    <w:p>
      <w:r>
        <w:t xml:space="preserve">Biber (Castor fiber), Fischotter (Lutra lutra), Rapfen (Aspius aspius), Steinbeißer (Cobitis</w:t>
      </w:r>
    </w:p>
    <w:p>
      <w:r>
        <w:t xml:space="preserve">taenia), Schlammpeitzger (Misgurnus fossilis) und Hirschkäfer (Lucanus cervus)</w:t>
      </w:r>
    </w:p>
    <w:p>
      <w:r>
        <w:t xml:space="preserve">als Tierarten von gemeinschaftlichem Interesse (im Sinne des Anhangs II der</w:t>
      </w:r>
    </w:p>
    <w:p>
      <w:r>
        <w:t xml:space="preserve">Richtlinie 92/43/EWG), einschließlich ihrer für Fortpflanzung, Ernährung,</w:t>
      </w:r>
    </w:p>
    <w:p>
      <w:r>
        <w:t xml:space="preserve">Wanderung und Überwinterung wichtigen Lebensräume.</w:t>
      </w:r>
    </w:p>
    <w:p>
      <w:r>
        <w:rPr>
          <w:color w:val="555555"/>
          <w:sz w:val="17"/>
        </w:rPr>
        <w:t xml:space="preserve">Zitiervorschlag: § 3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