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VO-ID212413 (Brandenburg)</w:t>
      </w:r>
    </w:p>
    <w:p>
      <w:r>
        <w:rPr>
          <w:color w:val="555555"/>
          <w:sz w:val="18"/>
        </w:rPr>
        <w:t xml:space="preserve">Verordnung über den Braunkohlenplan Tagebau Cottbus-Nord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Gleichzeitig tritt die Verordnung über die Verbindlichkeit des</w:t>
      </w:r>
    </w:p>
    <w:p>
      <w:r>
        <w:t xml:space="preserve">Braunkohlenplanes Tagebau Cottbus-Nord vom 28. Februar 1994 (GVBl. II S. 114)</w:t>
      </w:r>
    </w:p>
    <w:p>
      <w:r>
        <w:t xml:space="preserve">außer Kraft.</w:t>
      </w:r>
    </w:p>
    <w:p>
      <w:r>
        <w:t xml:space="preserve">Potsdam, den 18. Juli 2006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Jörg Schönbohm</w:t>
      </w:r>
    </w:p>
    <w:p>
      <w:r>
        <w:t xml:space="preserve">Der Minister für Infrastruktur und Raumordnung</w:t>
      </w:r>
    </w:p>
    <w:p>
      <w:r>
        <w:t xml:space="preserve">Frank Szymanski</w:t>
      </w:r>
    </w:p>
    <w:p>
      <w:r>
        <w:rPr>
          <w:color w:val="555555"/>
          <w:sz w:val="17"/>
        </w:rPr>
        <w:t xml:space="preserve">Zitiervorschlag: § 2 VO-ID212413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