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VO-ID212412 (Brandenburg)</w:t>
      </w:r>
    </w:p>
    <w:p>
      <w:r>
        <w:rPr>
          <w:color w:val="555555"/>
          <w:sz w:val="18"/>
        </w:rPr>
        <w:t xml:space="preserve">Verordnung über den Braunkohlenplan Tagebau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 Gleichzeitig tritt die Verordnung über die Verbindlichkeit des</w:t>
      </w:r>
    </w:p>
    <w:p>
      <w:r>
        <w:t xml:space="preserve">Braunkohlenplanes Tagebau Jänschwalde, sachlicher Teilplan 1, Umsiedlung</w:t>
      </w:r>
    </w:p>
    <w:p>
      <w:r>
        <w:t xml:space="preserve">Horno, vom 27. August 1999 (GVBl. II S. 486) außer Kraft.</w:t>
      </w:r>
    </w:p>
    <w:p>
      <w:r>
        <w:rPr>
          <w:color w:val="555555"/>
          <w:sz w:val="17"/>
        </w:rPr>
        <w:t xml:space="preserve">Zitiervorschlag: § 2 VO-ID212412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