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VO-ID212411 (Brandenburg)</w:t>
      </w:r>
    </w:p>
    <w:p>
      <w:r>
        <w:rPr>
          <w:color w:val="555555"/>
          <w:sz w:val="18"/>
        </w:rPr>
        <w:t xml:space="preserve">Verordnung über den Braunkohlenplan Tagebau Welzow-Süd, räumlicher Teilabschnitt 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Gleichzeitig treten die Verordnung über die Verbindlichkeit des</w:t>
      </w:r>
    </w:p>
    <w:p>
      <w:r>
        <w:t xml:space="preserve">Braunkohlenplanes Tagebau Welzow-Süd, räumlicher Teilabschnitt I, vom</w:t>
      </w:r>
    </w:p>
    <w:p>
      <w:r>
        <w:t xml:space="preserve">23. Dezember 1993 (GVBl. 1994 II S. 4), die Verordnung über die</w:t>
      </w:r>
    </w:p>
    <w:p>
      <w:r>
        <w:t xml:space="preserve">Verbindlichkeit des Braunkohlenplans Tagebau Welzow-Süd, räumlicher</w:t>
      </w:r>
    </w:p>
    <w:p>
      <w:r>
        <w:t xml:space="preserve">Teilabschnitt I, sachlicher Teilplan 1, Geisendorf-Steinitzer Endmoräne</w:t>
      </w:r>
    </w:p>
    <w:p>
      <w:r>
        <w:t xml:space="preserve">vom 7. November 1997 (GVBl. II S. 855) und die Verordnung über die</w:t>
      </w:r>
    </w:p>
    <w:p>
      <w:r>
        <w:t xml:space="preserve">Verbindlichkeit des Braunkohlenplans Tagebau Welzow-Süd, räumlicher</w:t>
      </w:r>
    </w:p>
    <w:p>
      <w:r>
        <w:t xml:space="preserve">Teilabschnitt I, sachlicher Teilplan 2, Umsiedlung Geisendorf/Sagrode vom 2.</w:t>
      </w:r>
    </w:p>
    <w:p>
      <w:r>
        <w:t xml:space="preserve">Juni 1998 (GVBl. II S. 440) außer Kraft.</w:t>
      </w:r>
    </w:p>
    <w:p>
      <w:r>
        <w:t xml:space="preserve">Potsdam, den 21. Juni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VO-ID212411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