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VO-ID212405 (Brandenburg) — Inkrafttreten</w:t>
      </w:r>
    </w:p>
    <w:p>
      <w:r>
        <w:rPr>
          <w:color w:val="555555"/>
          <w:sz w:val="18"/>
        </w:rPr>
        <w:t xml:space="preserve">Verordnung über die Übertragung des Rechts zur Berufung der Hochschullehrerinnen und Hochschullehrer an der Fachhochschule Eberswalde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t xml:space="preserve">Potsdam, den 18. Juni 2009</w:t>
      </w:r>
    </w:p>
    <w:p>
      <w:r>
        <w:t xml:space="preserve">Die Ministerin für Wissenschaft,</w:t>
      </w:r>
    </w:p>
    <w:p>
      <w:r>
        <w:t xml:space="preserve">Forschung und Kultur</w:t>
      </w:r>
    </w:p>
    <w:p>
      <w:r>
        <w:t xml:space="preserve">Prof. Dr. Johanna Wanka</w:t>
      </w:r>
    </w:p>
    <w:p>
      <w:r>
        <w:rPr>
          <w:color w:val="555555"/>
          <w:sz w:val="17"/>
        </w:rPr>
        <w:t xml:space="preserve">Zitiervorschlag: § 3 VO-ID212405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https://recht.nulegal.eu/gesetze/VO-ID212405/3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