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VO-ID212403 (Brandenburg)</w:t>
      </w:r>
    </w:p>
    <w:p>
      <w:r>
        <w:rPr>
          <w:color w:val="555555"/>
          <w:sz w:val="18"/>
        </w:rPr>
        <w:t xml:space="preserve">Verordnung zur Festsetzung der Regelsätze in der Sozialhilfe für den gesamten Bedarf des notwendigen Lebensunterhalts außerhalb von Einrichtungen ab 1. Juli 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mit Wirkung vom 1. Juli 2009 in Kraft. Gleichzeitig tritt die</w:t>
      </w:r>
    </w:p>
    <w:p>
      <w:r>
        <w:t xml:space="preserve">Verordnung zur Festsetzung der Regelsätze in der Sozialhilfe für den gesamten</w:t>
      </w:r>
    </w:p>
    <w:p>
      <w:r>
        <w:t xml:space="preserve">Bedarf des notwendigen Lebensunterhalts außerhalb von Einrichtungen ab 1. Juli</w:t>
      </w:r>
    </w:p>
    <w:p>
      <w:r>
        <w:t xml:space="preserve">2008 vom 19. Juni 2008 (GVBl. II S. 230) außer Kraft.</w:t>
      </w:r>
    </w:p>
    <w:p>
      <w:r>
        <w:t xml:space="preserve">Potsdam, den</w:t>
      </w:r>
    </w:p>
    <w:p>
      <w:r>
        <w:t xml:space="preserve">24. Juni 2009</w:t>
      </w:r>
    </w:p>
    <w:p>
      <w:r>
        <w:t xml:space="preserve">Die Ministerin für</w:t>
      </w:r>
    </w:p>
    <w:p>
      <w:r>
        <w:t xml:space="preserve">Arbeit,</w:t>
      </w:r>
    </w:p>
    <w:p>
      <w:r>
        <w:t xml:space="preserve">Soziales,</w:t>
      </w:r>
    </w:p>
    <w:p>
      <w:r>
        <w:t xml:space="preserve">Gesundheit und Familie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2 VO-ID212403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