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VO-ID212374 (Brandenburg) — Befreiungen</w:t>
      </w:r>
    </w:p>
    <w:p>
      <w:r>
        <w:rPr>
          <w:color w:val="555555"/>
          <w:sz w:val="18"/>
        </w:rPr>
        <w:t xml:space="preserve">Verordnung zur Festsetzung des Wasserschutzgebietes Neuhardenberg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untere Wasserbehörde kann auf Antrag von den Verboten der §§ 3, 4 und 5 Befreiung erteilen, wenn</w:t>
      </w:r>
    </w:p>
    <w:p>
      <w:r>
        <w:t xml:space="preserve">Gründe des Wohls der Allgemeinheit die Abweichung erfordern oder</w:t>
      </w:r>
    </w:p>
    <w:p>
      <w:r>
        <w:t xml:space="preserve">das Verbot im Einzelfall zu einer offenbar unbeabsichtigten Härte führen würde</w:t>
      </w:r>
    </w:p>
    <w:p>
      <w:r>
        <w:t xml:space="preserve">und die Befreiung mit dem Schutzziel vereinbar ist.</w:t>
      </w:r>
    </w:p>
    <w:p>
      <w:r>
        <w:t xml:space="preserve">(2) Die untere Wasserbehörde kann auf Antrag von dem Verbot des § 3 Nummer 26 Befreiung erteilen, wenn der Materialeinsatz nach den vom zuständigen Fachminister eingeführten technischen Regeln für die Verwertung mineralischer Abfälle und für den Einsatz von Bodenmaterial zulässig wäre.</w:t>
      </w:r>
    </w:p>
    <w:p>
      <w:r>
        <w:t xml:space="preserve">(3) Die Befreiung ist widerruflich; sie kann mit Bedingungen und Auflagen verbunden werden und erfolgt durch schriftlichen oder elektronischen Bescheid . Abweichend von Satz 1 ist eine Befreiung von dem Verbot gemäß § 3 Nummer 55 nicht widerruflich.</w:t>
      </w:r>
    </w:p>
    <w:p>
      <w:r>
        <w:t xml:space="preserve">(4) Im Falle des Widerrufs kann die untere Wasserbehörde vom Grundstückseigentümer verlangen, dass der frühere Zustand wiederhergestellt wird, sofern es das Wohl der Allgemeinheit, insbesondere der Schutz der Wasserversorgung, erfordert.</w:t>
      </w:r>
    </w:p>
    <w:p>
      <w:r>
        <w:rPr>
          <w:color w:val="555555"/>
          <w:sz w:val="17"/>
        </w:rPr>
        <w:t xml:space="preserve">Zitiervorschlag: § 7 VO-ID212374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https://recht.nulegal.eu/gesetze/VO-ID212374/7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VO-ID212374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