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VO-ID212374 (Brandenburg) — Schutz der Zone I</w:t>
      </w:r>
    </w:p>
    <w:p>
      <w:r>
        <w:rPr>
          <w:color w:val="555555"/>
          <w:sz w:val="18"/>
        </w:rPr>
        <w:t xml:space="preserve">Verordnung zur Festsetzung des Wasserschutzgebietes Neuhardenberg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Verbote der Zonen III und II gelten auch in der Zone I. In der Zone I sind außerdem verboten:</w:t>
      </w:r>
    </w:p>
    <w:p>
      <w:r>
        <w:t xml:space="preserve">1. das Betreten oder Befahren,</w:t>
      </w:r>
    </w:p>
    <w:p>
      <w:r>
        <w:t xml:space="preserve">2. land-, forst- oder gartenbauliche Nutzung,</w:t>
      </w:r>
    </w:p>
    <w:p>
      <w:r>
        <w:t xml:space="preserve">3. Veränderungen oder Aufschlüsse der Erdoberfläche.</w:t>
      </w:r>
    </w:p>
    <w:p>
      <w:r>
        <w:rPr>
          <w:color w:val="555555"/>
          <w:sz w:val="17"/>
        </w:rPr>
        <w:t xml:space="preserve">Zitiervorschlag: § 5 VO-ID212374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https://recht.nulegal.eu/gesetze/VO-ID212374/5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