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VO-ID212358 (Brandenburg) — Duldungspflichten</w:t>
      </w:r>
    </w:p>
    <w:p>
      <w:r>
        <w:rPr>
          <w:color w:val="555555"/>
          <w:sz w:val="18"/>
        </w:rPr>
        <w:t xml:space="preserve">Verordnung zur Festsetzung des Wasserschutzgebietes Oschätzchen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innerhalb des Schutzgebietes haben die Beseitigung oder Änderung von Einrichtungen, die im Zeitpunkt des Inkrafttretens dieser Verordnung bestehen und deren Bestand, Errichtung, Erweiterung oder Betrieb unter die Verbote der §§ 3, 4 und 5 fallen, auf Anordnung der unteren Wasserbehörde gegen Entschädigung zu dulden, sofern sie nicht schon nach anderen Vorschriften verpflichtet sind, die Einrichtung zu beseitigen oder zu ändern.</w:t>
      </w:r>
    </w:p>
    <w:p>
      <w:r>
        <w:t xml:space="preserve">(3) Die Eigentümer oder Nutzungsberechtigten von Grundstücken im Wasserschutzgebiet sind darüber hinaus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9 VO-ID212358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https://recht.nulegal.eu/gesetze/VO-ID212358/9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VO-ID212358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