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VO-ID212355 (Brandenburg)</w:t>
      </w:r>
    </w:p>
    <w:p>
      <w:r>
        <w:rPr>
          <w:color w:val="555555"/>
          <w:sz w:val="18"/>
        </w:rPr>
        <w:t xml:space="preserve">Siebente Verordnung über die Aufhebung von Wasserschutzgebieten im Landkreis Prignitz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</w:t>
      </w:r>
    </w:p>
    <w:p>
      <w:r>
        <w:t xml:space="preserve">Verordnung tritt am Tage nach der Verkündung in Kraft.</w:t>
      </w:r>
    </w:p>
    <w:p>
      <w:r>
        <w:t xml:space="preserve">Potsdam, den</w:t>
      </w:r>
    </w:p>
    <w:p>
      <w:r>
        <w:t xml:space="preserve">20. Oktober 2008</w:t>
      </w:r>
    </w:p>
    <w:p>
      <w:r>
        <w:t xml:space="preserve">Der Minister für</w:t>
      </w:r>
    </w:p>
    <w:p>
      <w:r>
        <w:t xml:space="preserve">Ländliche Entwicklung,</w:t>
      </w:r>
    </w:p>
    <w:p>
      <w:r>
        <w:t xml:space="preserve">Umwelt und Verbraucherschutz</w:t>
      </w:r>
    </w:p>
    <w:p>
      <w:r>
        <w:t xml:space="preserve">In Vertretung</w:t>
      </w:r>
    </w:p>
    <w:p>
      <w:r>
        <w:t xml:space="preserve">Dietmar Schulze</w:t>
      </w:r>
    </w:p>
    <w:p>
      <w:r>
        <w:rPr>
          <w:color w:val="555555"/>
          <w:sz w:val="17"/>
        </w:rPr>
        <w:t xml:space="preserve">Zitiervorschlag: § 3 VO-ID212355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https://recht.nulegal.eu/gesetze/VO-ID212355/3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