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1a VO-ID212351 (Brandenburg)</w:t>
      </w:r>
    </w:p>
    <w:p>
      <w:r>
        <w:rPr>
          <w:color w:val="555555"/>
          <w:sz w:val="18"/>
        </w:rPr>
        <w:t xml:space="preserve">Verordnung zur Ausführung des Gesetzes über das gerichtliche Verfahren in Landwirtschaftssachen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Verfahren, die vor</w:t>
      </w:r>
    </w:p>
    <w:p>
      <w:r>
        <w:t xml:space="preserve">Inkrafttreten einer Änderung dieser Verordnung anhängig sind, gilt das bisherige</w:t>
      </w:r>
    </w:p>
    <w:p>
      <w:r>
        <w:t xml:space="preserve">Recht.</w:t>
      </w:r>
    </w:p>
    <w:p>
      <w:r>
        <w:rPr>
          <w:color w:val="555555"/>
          <w:sz w:val="17"/>
        </w:rPr>
        <w:t xml:space="preserve">Zitiervorschlag: § 1a VO-ID212351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https://recht.nulegal.eu/gesetze/VO-ID212351/1a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1a VO-ID212351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