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VO-ID212351 (Brandenburg)</w:t>
      </w:r>
    </w:p>
    <w:p>
      <w:r>
        <w:rPr>
          <w:color w:val="555555"/>
          <w:sz w:val="18"/>
        </w:rPr>
        <w:t xml:space="preserve">Verordnung zur Ausführung des Gesetzes über das gerichtliche Verfahren in Landwirtschaftssachen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Land- und forstwirtschaftliche Berufsvertretungen sind die Organisationen,</w:t>
      </w:r>
    </w:p>
    <w:p>
      <w:r>
        <w:t xml:space="preserve">die der Hauptnutzung des Grundstücks entsprechen, und zwar für</w:t>
      </w:r>
    </w:p>
    <w:p>
      <w:r>
        <w:t xml:space="preserve">Landwirtschaft:</w:t>
      </w:r>
    </w:p>
    <w:p>
      <w:r>
        <w:t xml:space="preserve">Landesbauernverband Brandenburg e. V.,</w:t>
      </w:r>
    </w:p>
    <w:p>
      <w:r>
        <w:t xml:space="preserve">Bauernbund Brandenburg</w:t>
      </w:r>
    </w:p>
    <w:p>
      <w:r>
        <w:t xml:space="preserve">e.V</w:t>
      </w:r>
    </w:p>
    <w:p>
      <w:r>
        <w:t xml:space="preserve">Forstwirtschaft:</w:t>
      </w:r>
    </w:p>
    <w:p>
      <w:r>
        <w:t xml:space="preserve">Waldbesitzerverband Brandenburg e. V.</w:t>
      </w:r>
    </w:p>
    <w:p>
      <w:r>
        <w:t xml:space="preserve">Gartenbau:</w:t>
      </w:r>
    </w:p>
    <w:p>
      <w:r>
        <w:t xml:space="preserve">Landesverband Gartenbau Brandenburg e. V.</w:t>
      </w:r>
    </w:p>
    <w:p>
      <w:r>
        <w:t xml:space="preserve">Binnenfischerei:</w:t>
      </w:r>
    </w:p>
    <w:p>
      <w:r>
        <w:t xml:space="preserve">Landesfischereiverband Brandenburg/Berlin e. V.</w:t>
      </w:r>
    </w:p>
    <w:p>
      <w:r>
        <w:rPr>
          <w:color w:val="555555"/>
          <w:sz w:val="17"/>
        </w:rPr>
        <w:t xml:space="preserve">Zitiervorschlag: § 1 VO-ID212351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https://recht.nulegal.eu/gesetze/VO-ID212351/1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