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VO-ID212350 (Brandenburg) — Täuschungsversuche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 Beginn der Prüfung sind die Bewerber darauf hinzuweisen, dass jede Kontaktaufnahme der Bewerber untereinander sowie die Benutzung von unerlaubten Hilfsmitteln während der Prüfungsdauer untersagt sind.</w:t>
      </w:r>
    </w:p>
    <w:p>
      <w:r>
        <w:t xml:space="preserve">(2) Bei einem Verstoß gegen diese Verbote, der in der Prüfungsniederschrift zu vermerken ist, wird der Bewerber von der Prüfung ausgeschlossen. Die Prüfung gilt in einem solchen Fall als nicht bestanden.</w:t>
      </w:r>
    </w:p>
    <w:p>
      <w:r>
        <w:rPr>
          <w:color w:val="555555"/>
          <w:sz w:val="17"/>
        </w:rPr>
        <w:t xml:space="preserve">Zitiervorschlag: § 8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