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VO-ID212350 (Brandenburg) — Prüfungsgebiete</w:t>
      </w:r>
    </w:p>
    <w:p>
      <w:r>
        <w:rPr>
          <w:color w:val="555555"/>
          <w:sz w:val="18"/>
        </w:rPr>
        <w:t xml:space="preserve">Verordnung über die Anglerprüfung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Prüfungsgebiete sind:</w:t>
      </w:r>
    </w:p>
    <w:p>
      <w:r>
        <w:t xml:space="preserve">Fischkunde und -hege</w:t>
      </w:r>
    </w:p>
    <w:p>
      <w:r>
        <w:t xml:space="preserve">(insbesondere Aufbau des Fischkörpers, Bau und Funktion der Fischorgane, Unterscheidung einheimischer Fischarten, häufig auftretende Fischkrankheiten, Notwendigkeit von Besatzmaßnahmen, Naturnahrung, Sauerstoff und Temperaturverhältnisse),</w:t>
      </w:r>
    </w:p>
    <w:p>
      <w:r>
        <w:t xml:space="preserve">Pflege der Fischgewässer</w:t>
      </w:r>
    </w:p>
    <w:p>
      <w:r>
        <w:t xml:space="preserve">(insbesondere fischereiliche Gewässerkunde, Schutz der Gewässer vor Verunreinigungen, Ufer- und Gelegeschutz, Mittel und Geräte zur Gewässerinstandhaltung),</w:t>
      </w:r>
    </w:p>
    <w:p>
      <w:r>
        <w:t xml:space="preserve">Fanggeräte und deren Gebrauch</w:t>
      </w:r>
    </w:p>
    <w:p>
      <w:r>
        <w:t xml:space="preserve">(insbesondere zulässige und verbotene Fanggeräte und Fangmethoden),</w:t>
      </w:r>
    </w:p>
    <w:p>
      <w:r>
        <w:t xml:space="preserve">Behandlung der gefangenen Fische</w:t>
      </w:r>
    </w:p>
    <w:p>
      <w:r>
        <w:t xml:space="preserve">(insbesondere Umgang mit geschützten und untermaßigen Fischen, Tötung und Aufbewahrung von Fischen),</w:t>
      </w:r>
    </w:p>
    <w:p>
      <w:r>
        <w:t xml:space="preserve">Einschlägige Rechtsvorschriften</w:t>
      </w:r>
    </w:p>
    <w:p>
      <w:r>
        <w:t xml:space="preserve">(Grundsätze und wichtige Einzelbestimmungen des Landesfischereirechts, des Wasserrechts, des Tierschutzrechts und des Naturschutzrechts).</w:t>
      </w:r>
    </w:p>
    <w:p>
      <w:r>
        <w:rPr>
          <w:color w:val="555555"/>
          <w:sz w:val="17"/>
        </w:rPr>
        <w:t xml:space="preserve">Zitiervorschlag: § 3 VO-ID212350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