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VO-ID212350 (Brandenburg) — Akteneinsicht, Aufbewahrungsfristen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Bewerber kann binnen eines Monats nach Bekanntgabe des Prüfungsergebnisses auf Antrag bei der zuständigen Stelle Einsicht in die Prüfungs- und Bewertungsunterlagen nehmen.</w:t>
      </w:r>
    </w:p>
    <w:p>
      <w:r>
        <w:t xml:space="preserve">(2) Die Prüfungsunterlagen für jeden Prüfling sind für die Dauer von zwei Jahren von der zuständigen Stelle aufzubewahren.</w:t>
      </w:r>
    </w:p>
    <w:p>
      <w:r>
        <w:t xml:space="preserve">(3) Die Prüfungsniederschriften, die von einer nach § 1 Abs. 1 anerkannten Stelle gefertigt wurden, sind für die Dauer von fünf Jahren aufzubewahren.</w:t>
      </w:r>
    </w:p>
    <w:p>
      <w:r>
        <w:rPr>
          <w:color w:val="555555"/>
          <w:sz w:val="17"/>
        </w:rPr>
        <w:t xml:space="preserve">Zitiervorschlag: § 13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