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VO-ID212350 (Brandenburg) — Anerkennung</w:t>
      </w:r>
    </w:p>
    <w:p>
      <w:r>
        <w:rPr>
          <w:color w:val="555555"/>
          <w:sz w:val="18"/>
        </w:rPr>
        <w:t xml:space="preserve">Verordnung über die Anglerprüfung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Landesamt für Verbraucherschutz, Landwirtschaft und Flurneuordnung kann auf Antrag natürliche oder juristische Personen des Privatrechts für die Organisation und Durchführung der Anglerprüfung anerkennen, wenn</w:t>
      </w:r>
    </w:p>
    <w:p>
      <w:r>
        <w:t xml:space="preserve">diese rechtsfähig sind,</w:t>
      </w:r>
    </w:p>
    <w:p>
      <w:r>
        <w:t xml:space="preserve">diese ihren Sitz im Land Brandenburg haben,</w:t>
      </w:r>
    </w:p>
    <w:p>
      <w:r>
        <w:t xml:space="preserve">diese zuverlässig sind,</w:t>
      </w:r>
    </w:p>
    <w:p>
      <w:r>
        <w:t xml:space="preserve">diese entweder eine Voraussetzung des § 17 Abs. 2 des Fischereigesetzes für das Land Brandenburg erfüllen oder Inhaber eines im Land Brandenburg ausgestellten Fischereischeins gemäß § 17 Abs. 1 Nr. 2 sind und an einem vom Landesamt für Verbraucherschutz, Landwirtschaft und Flurneuordnung bestätigten Lehrgang erfolgreich teilgenommen haben und</w:t>
      </w:r>
    </w:p>
    <w:p>
      <w:r>
        <w:t xml:space="preserve">gewährleistet ist, dass die Vorschriften über die Anglerprüfung eingehalten werden.</w:t>
      </w:r>
    </w:p>
    <w:p>
      <w:r>
        <w:t xml:space="preserve">(2) Die Anerkennung kann befristet werden. Sie kann mit Nebenbestimmungen versehen, insbesondere unter Bedingungen erteilt und mit Auflagen oder dem Vorbehalt des Widerrufs verbunden werden.</w:t>
      </w:r>
    </w:p>
    <w:p>
      <w:r>
        <w:rPr>
          <w:color w:val="555555"/>
          <w:sz w:val="17"/>
        </w:rPr>
        <w:t xml:space="preserve">Zitiervorschlag: § 1 VO-ID212350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