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VO-ID212348 (Brandenburg)</w:t>
      </w:r>
    </w:p>
    <w:p>
      <w:r>
        <w:rPr>
          <w:color w:val="555555"/>
          <w:sz w:val="18"/>
        </w:rPr>
        <w:t xml:space="preserve">Verordnung zur Regelung der Zuständigkeiten der Landkreise und kreisfreien Städte zur Durchführung von Landesprogrammen zur Förderung von landwirtschaftlichen Maßnahmen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Landkreise und kreisfreien Städte sind</w:t>
      </w:r>
    </w:p>
    <w:p>
      <w:r>
        <w:t xml:space="preserve">zuständig für den Vollzug der für Programme zur Förderung</w:t>
      </w:r>
    </w:p>
    <w:p>
      <w:r>
        <w:t xml:space="preserve">von Maßnahmen zur Verminderung von Umweltbelastungen in der</w:t>
      </w:r>
    </w:p>
    <w:p>
      <w:r>
        <w:t xml:space="preserve">Landwirtschaft,</w:t>
      </w:r>
    </w:p>
    <w:p>
      <w:r>
        <w:t xml:space="preserve">von Maßnahmen für die Bewässerung landwirtschaftlich und</w:t>
      </w:r>
    </w:p>
    <w:p>
      <w:r>
        <w:t xml:space="preserve">gärtnerisch genutzter Flächen,</w:t>
      </w:r>
    </w:p>
    <w:p>
      <w:r>
        <w:t xml:space="preserve">von Investitionen zum Schutz und zur Verbesserung der Umwelt bei der</w:t>
      </w:r>
    </w:p>
    <w:p>
      <w:r>
        <w:t xml:space="preserve">Schweinehaltung,</w:t>
      </w:r>
    </w:p>
    <w:p>
      <w:r>
        <w:t xml:space="preserve">der umweltschonenden Landschaftspflege durch Schafe, Ziegen, Pferde und</w:t>
      </w:r>
    </w:p>
    <w:p>
      <w:r>
        <w:t xml:space="preserve">Wildtiere (geeignete Rassen) zur Erhaltung der Kulturlandschaft,</w:t>
      </w:r>
    </w:p>
    <w:p>
      <w:r>
        <w:t xml:space="preserve">der Erstbeschaffung von weiblichen Zucht- und Reproduktionstieren,</w:t>
      </w:r>
    </w:p>
    <w:p>
      <w:r>
        <w:t xml:space="preserve">von landschaftspflegenden Maßnahmen zum Erhalt von</w:t>
      </w:r>
    </w:p>
    <w:p>
      <w:r>
        <w:t xml:space="preserve">Teichlandschaften,</w:t>
      </w:r>
    </w:p>
    <w:p>
      <w:r>
        <w:t xml:space="preserve">des kontrollierten integrierten Obst- und Gemüseanbaus,</w:t>
      </w:r>
    </w:p>
    <w:p>
      <w:r>
        <w:t xml:space="preserve">des Kartoffelanbaus,</w:t>
      </w:r>
    </w:p>
    <w:p>
      <w:r>
        <w:t xml:space="preserve">des Gartenbaus,</w:t>
      </w:r>
    </w:p>
    <w:p>
      <w:r>
        <w:t xml:space="preserve">in Form der Gewährung von Ausgleichszahlungen für Gebiete mit</w:t>
      </w:r>
    </w:p>
    <w:p>
      <w:r>
        <w:t xml:space="preserve">umweltspezifischen Einschränkungen,</w:t>
      </w:r>
    </w:p>
    <w:p>
      <w:r>
        <w:t xml:space="preserve">einer spreewaldtypischen Bewirtschaftung landwirtschaftlich genutzter</w:t>
      </w:r>
    </w:p>
    <w:p>
      <w:r>
        <w:t xml:space="preserve">Flächen sowie</w:t>
      </w:r>
    </w:p>
    <w:p>
      <w:r>
        <w:t xml:space="preserve">von Maßnahmen zur Erhaltung bedrohter Kulturpflanzenarten und</w:t>
      </w:r>
    </w:p>
    <w:p>
      <w:r>
        <w:t xml:space="preserve">Nutztierrassen</w:t>
      </w:r>
    </w:p>
    <w:p>
      <w:r>
        <w:t xml:space="preserve">erlassenen Richtlinien des Ministers für Landwirtschaft,</w:t>
      </w:r>
    </w:p>
    <w:p>
      <w:r>
        <w:t xml:space="preserve">Umweltschutz und Raumordnung. Sie nehmen diese Aufgabe als Pflichtaufgabe zur</w:t>
      </w:r>
    </w:p>
    <w:p>
      <w:r>
        <w:t xml:space="preserve">Erfüllung nach Weisung wahr.</w:t>
      </w:r>
    </w:p>
    <w:p>
      <w:r>
        <w:t xml:space="preserve">(2) Die Aufsicht über die nach Absatz 1 zuständigen</w:t>
      </w:r>
    </w:p>
    <w:p>
      <w:r>
        <w:t xml:space="preserve">Behörden führt das Ministerium für Landwirtschaft, Umweltschutz</w:t>
      </w:r>
    </w:p>
    <w:p>
      <w:r>
        <w:t xml:space="preserve">und Raumordnung. Für die Durchführung der Aufsicht gilt</w:t>
      </w:r>
    </w:p>
    <w:p>
      <w:r>
        <w:t xml:space="preserve">§ 121 Abs. 2 der Kommunalverfassung des Landes Brandenburg.</w:t>
      </w:r>
    </w:p>
    <w:p>
      <w:r>
        <w:rPr>
          <w:color w:val="555555"/>
          <w:sz w:val="17"/>
        </w:rPr>
        <w:t xml:space="preserve">Zitiervorschlag: § 1 VO-ID212348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https://recht.nulegal.eu/gesetze/VO-ID212348/1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VO-ID212348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