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VO-ID212341 (Brandenburg)</w:t>
      </w:r>
    </w:p>
    <w:p>
      <w:r>
        <w:rPr>
          <w:color w:val="555555"/>
          <w:sz w:val="18"/>
        </w:rPr>
        <w:t xml:space="preserve">Verordnung zur vorläufigen Regelung der zuständigen Behörden für den Vollzug des Artikels 6 Abs. 3 und 4 der FFH-Richtlinie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Landkreisen und kreisfreien Städten durch diese</w:t>
      </w:r>
    </w:p>
    <w:p>
      <w:r>
        <w:t xml:space="preserve">Verordnung Zuständigkeiten übertragen werden, nehmen sie</w:t>
      </w:r>
    </w:p>
    <w:p>
      <w:r>
        <w:t xml:space="preserve">diese Aufgaben als Pflichtaufgaben zur Erfüllung nach Weisung wahr. Sie unterliegen der Sonderaufsicht der jeweiligen obersten</w:t>
      </w:r>
    </w:p>
    <w:p>
      <w:r>
        <w:t xml:space="preserve">Landesbehörde. § 53 des Brandenburgischen Naturschutzgesetzes in Verbindung mit</w:t>
      </w:r>
    </w:p>
    <w:p>
      <w:r>
        <w:t xml:space="preserve">§ 131 Abs. 1 der Kommunalverfassung des Landes Brandenburg in Verbindung mit den §§ 108 bis 121</w:t>
      </w:r>
    </w:p>
    <w:p>
      <w:r>
        <w:t xml:space="preserve">der Kommunalverfassung des Landes Brandenburg gilt</w:t>
      </w:r>
    </w:p>
    <w:p>
      <w:r>
        <w:t xml:space="preserve">entsprechend.</w:t>
      </w:r>
    </w:p>
    <w:p>
      <w:r>
        <w:rPr>
          <w:color w:val="555555"/>
          <w:sz w:val="17"/>
        </w:rPr>
        <w:t xml:space="preserve">Zitiervorschlag: § 3 VO-ID212341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https://recht.nulegal.eu/gesetze/VO-ID212341/3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