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VO-ID212341 (Brandenburg)</w:t>
      </w:r>
    </w:p>
    <w:p>
      <w:r>
        <w:rPr>
          <w:color w:val="555555"/>
          <w:sz w:val="18"/>
        </w:rPr>
        <w:t xml:space="preserve">Verordnung zur vorläufigen Regelung der zuständigen Behörden für den Vollzug des Artikels 6 Abs. 3 und 4 der FFH-Richtlinie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Bei der Aufstellung von Plänen im Sinne des Artikels 6 Abs. 3</w:t>
      </w:r>
    </w:p>
    <w:p>
      <w:r>
        <w:t xml:space="preserve">der FFH-Richtlinie ist der Planungsträger für die Entscheidung nach Artikel 6 Abs. 3 und 4 der FFH-Richtlinie zuständig.</w:t>
      </w:r>
    </w:p>
    <w:p>
      <w:r>
        <w:rPr>
          <w:color w:val="555555"/>
          <w:sz w:val="17"/>
        </w:rPr>
        <w:t xml:space="preserve">Zitiervorschlag: § 2 VO-ID212341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https://recht.nulegal.eu/gesetze/VO-ID212341/2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