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VO-ID212329 (Brandenburg) — Inkrafttreten</w:t>
      </w:r>
    </w:p>
    <w:p>
      <w:r>
        <w:rPr>
          <w:color w:val="555555"/>
          <w:sz w:val="18"/>
        </w:rPr>
        <w:t xml:space="preserve">Verordnung zur Festsetzung des Wasserschutzgebietes Babitz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22. Juli 2008</w:t>
      </w:r>
    </w:p>
    <w:p>
      <w:r>
        <w:t xml:space="preserve">Der Minister für Ländliche Entwicklung,</w:t>
      </w:r>
    </w:p>
    <w:p>
      <w:r>
        <w:t xml:space="preserve">Umwelt und Verbraucherschutz</w:t>
      </w:r>
    </w:p>
    <w:p>
      <w:r>
        <w:t xml:space="preserve">In Vertretung</w:t>
      </w:r>
    </w:p>
    <w:p>
      <w:r>
        <w:t xml:space="preserve">Dietmar Schulze</w:t>
      </w:r>
    </w:p>
    <w:p>
      <w:r>
        <w:rPr>
          <w:color w:val="555555"/>
          <w:sz w:val="17"/>
        </w:rPr>
        <w:t xml:space="preserve">Zitiervorschlag: § 13 VO-ID212329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https://recht.nulegal.eu/gesetze/VO-ID212329/13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