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VO-ID212328 (Brandenburg) — Pflege-, Entwicklungs- und Wiederherstellungsmaßnahmen</w:t>
      </w:r>
    </w:p>
    <w:p>
      <w:r>
        <w:rPr>
          <w:color w:val="555555"/>
          <w:sz w:val="18"/>
        </w:rPr>
        <w:t xml:space="preserve">Verordnung über den Schutzwald „Wacholderhänge Lossow“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Pflege-, Entwicklungs- und</w:t>
      </w:r>
    </w:p>
    <w:p>
      <w:r>
        <w:t xml:space="preserve">Wiederherstellungsmaßnahmen werden als Zielvorgabe benannt:</w:t>
      </w:r>
    </w:p>
    <w:p>
      <w:r>
        <w:t xml:space="preserve">die in den lichten Kiefernwäldern vorkommenden</w:t>
      </w:r>
    </w:p>
    <w:p>
      <w:r>
        <w:t xml:space="preserve">Wacholdergebüsche sollen durch Entnahme bedrängender Gehölze freigestellt</w:t>
      </w:r>
    </w:p>
    <w:p>
      <w:r>
        <w:t xml:space="preserve">werden, wobei der vorhandene Kiefernaltholzschirm zum Schutz vor zu starker</w:t>
      </w:r>
    </w:p>
    <w:p>
      <w:r>
        <w:t xml:space="preserve">Sonneneinstrahlung bis zum natürlichen Absterben der Kiefern erhalten bleiben</w:t>
      </w:r>
    </w:p>
    <w:p>
      <w:r>
        <w:t xml:space="preserve">soll;</w:t>
      </w:r>
    </w:p>
    <w:p>
      <w:r>
        <w:t xml:space="preserve">die Naturverjüngung von Baumarten der potenziell natürlichen</w:t>
      </w:r>
    </w:p>
    <w:p>
      <w:r>
        <w:t xml:space="preserve">Waldgesellschaft soll kleinflächig erhalten, gepflegt und entwickelt werden,</w:t>
      </w:r>
    </w:p>
    <w:p>
      <w:r>
        <w:t xml:space="preserve">sofern sie die Wacholdergebüsche nicht bedrängt;</w:t>
      </w:r>
    </w:p>
    <w:p>
      <w:r>
        <w:t xml:space="preserve">das auf den Flurstücken 72/3, 73/3 und 74/3 stockende</w:t>
      </w:r>
    </w:p>
    <w:p>
      <w:r>
        <w:t xml:space="preserve">Kiefernstangenholz soll durchforstet werden, um langfristig eine</w:t>
      </w:r>
    </w:p>
    <w:p>
      <w:r>
        <w:t xml:space="preserve">lichtdurchlässige Schirmstellung zu erreichen, die für die Entwicklung der</w:t>
      </w:r>
    </w:p>
    <w:p>
      <w:r>
        <w:t xml:space="preserve">Wacholdergebüsche erforderlich ist;</w:t>
      </w:r>
    </w:p>
    <w:p>
      <w:r>
        <w:t xml:space="preserve">in der Hangrinne auf den Flurstücken 93 und 186 sollen die im</w:t>
      </w:r>
    </w:p>
    <w:p>
      <w:r>
        <w:t xml:space="preserve">Unter- und Zwischenstand stockenden Eschen, Ulmen und Eichen gefördert werden;</w:t>
      </w:r>
    </w:p>
    <w:p>
      <w:r>
        <w:t xml:space="preserve">der weiteren Ausbreitung der Robinie soll durch geeignete</w:t>
      </w:r>
    </w:p>
    <w:p>
      <w:r>
        <w:t xml:space="preserve">Maßnahmen entgegengewirkt werden;</w:t>
      </w:r>
    </w:p>
    <w:p>
      <w:r>
        <w:t xml:space="preserve">zur Biotoppflege der Formation von Juniperus communis auf</w:t>
      </w:r>
    </w:p>
    <w:p>
      <w:r>
        <w:t xml:space="preserve">Kalkheiden und -rasen soll eine turnusmäßige Beweidung mit Schafen durchgeführt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6 VO-ID212328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