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VO-ID212328 (Brandenburg) — Zulässige Handlungen</w:t>
      </w:r>
    </w:p>
    <w:p>
      <w:r>
        <w:rPr>
          <w:color w:val="555555"/>
          <w:sz w:val="18"/>
        </w:rPr>
        <w:t xml:space="preserve">Verordnung über den Schutzwald „Wacholderhänge Lossow“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Ausgenommen von den Verboten des § 4 bleiben</w:t>
      </w:r>
    </w:p>
    <w:p>
      <w:r>
        <w:t xml:space="preserve">Maßnahmen, die der Abwehr einer unmittelbar drohenden Gefahr für die öffentliche</w:t>
      </w:r>
    </w:p>
    <w:p>
      <w:r>
        <w:t xml:space="preserve">Sicherheit dienen. Die untere Forstbehörde ist über die getroffenen Maßnahmen</w:t>
      </w:r>
    </w:p>
    <w:p>
      <w:r>
        <w:t xml:space="preserve">unverzüglich zu unterrichten. Sie kann nachträglich ergänzende Anordnungen zur</w:t>
      </w:r>
    </w:p>
    <w:p>
      <w:r>
        <w:t xml:space="preserve">Vereinbarkeit mit dem Schutzzweck treffen.</w:t>
      </w:r>
    </w:p>
    <w:p>
      <w:r>
        <w:rPr>
          <w:color w:val="555555"/>
          <w:sz w:val="17"/>
        </w:rPr>
        <w:t xml:space="preserve">Zitiervorschlag: § 5 VO-ID212328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https://recht.nulegal.eu/gesetze/VO-ID212328/5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