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VO-ID212328 (Brandenburg) — Verbote, Maßgaben zur forstwirtschaftlichen Bodennutzung</w:t>
      </w:r>
    </w:p>
    <w:p>
      <w:r>
        <w:rPr>
          <w:color w:val="555555"/>
          <w:sz w:val="18"/>
        </w:rPr>
        <w:t xml:space="preserve">Verordnung über den Schutzwald „Wacholderhänge Lossow“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</w:t>
      </w:r>
    </w:p>
    <w:p>
      <w:r>
        <w:t xml:space="preserve">Handlungen sind im Schutzwald gemäß § 12 Abs. 6 des Waldgesetzes des Landes</w:t>
      </w:r>
    </w:p>
    <w:p>
      <w:r>
        <w:t xml:space="preserve">Brandenburg alle Handlungen verboten, die dem in § 3 genannten Schutzzweck</w:t>
      </w:r>
    </w:p>
    <w:p>
      <w:r>
        <w:t xml:space="preserve">zuwiderlaufen und das Gebiet oder einzelne seiner Bestandteile nachhaltig</w:t>
      </w:r>
    </w:p>
    <w:p>
      <w:r>
        <w:t xml:space="preserve">stören, verändern, beschädigen oder zerstören können.</w:t>
      </w:r>
    </w:p>
    <w:p>
      <w:r>
        <w:t xml:space="preserve">(2) Es ist insbesondere verboten:</w:t>
      </w:r>
    </w:p>
    <w:p>
      <w:r>
        <w:t xml:space="preserve">zu lagern, zu zelten, Wohnwagen aufzustellen, Feuer zu</w:t>
      </w:r>
    </w:p>
    <w:p>
      <w:r>
        <w:t xml:space="preserve">verursachen oder eine Brandgefahr herbeizuführen;</w:t>
      </w:r>
    </w:p>
    <w:p>
      <w:r>
        <w:t xml:space="preserve">die Bodengestalt zu verändern, Böden zu verfestigen, zu</w:t>
      </w:r>
    </w:p>
    <w:p>
      <w:r>
        <w:t xml:space="preserve">versiegeln oder zu verunreinigen;</w:t>
      </w:r>
    </w:p>
    <w:p>
      <w:r>
        <w:t xml:space="preserve">Düngemittel einschließlich Wirtschaftsdünger und</w:t>
      </w:r>
    </w:p>
    <w:p>
      <w:r>
        <w:t xml:space="preserve">Sekundärrohstoffdünger zum Zwecke der Düngung, sowie Abwasser zu sonstigen</w:t>
      </w:r>
    </w:p>
    <w:p>
      <w:r>
        <w:t xml:space="preserve">Zwecken zu lagern, auf- oder auszubringen oder einzuleiten;</w:t>
      </w:r>
    </w:p>
    <w:p>
      <w:r>
        <w:t xml:space="preserve">Pflanzenschutzmittel jeder Art oder Holzschutzmittel</w:t>
      </w:r>
    </w:p>
    <w:p>
      <w:r>
        <w:t xml:space="preserve">anzuwenden;</w:t>
      </w:r>
    </w:p>
    <w:p>
      <w:r>
        <w:t xml:space="preserve">wild lebende Pflanzen oder ihre Teile oder Entwicklungsformen</w:t>
      </w:r>
    </w:p>
    <w:p>
      <w:r>
        <w:t xml:space="preserve">abzuschneiden, abzupflücken, aus- oder abzureißen, auszugraben, zu beschädigen</w:t>
      </w:r>
    </w:p>
    <w:p>
      <w:r>
        <w:t xml:space="preserve">oder zu vernichten;</w:t>
      </w:r>
    </w:p>
    <w:p>
      <w:r>
        <w:t xml:space="preserve">Ansaatwildwiesen, Wildäcker und Kirrungen in den geschützten</w:t>
      </w:r>
    </w:p>
    <w:p>
      <w:r>
        <w:t xml:space="preserve">Wacholdergebüschen und Kiefernwäldern trockenwarmer Standorte zu unterhalten.</w:t>
      </w:r>
    </w:p>
    <w:p>
      <w:r>
        <w:t xml:space="preserve">(3) Die ordnungsgemäße forstwirtschaftliche</w:t>
      </w:r>
    </w:p>
    <w:p>
      <w:r>
        <w:t xml:space="preserve">Bodennutzung gemäß den in § 4 Abs. 1 bis 3 des Waldgesetzes des Landes</w:t>
      </w:r>
    </w:p>
    <w:p>
      <w:r>
        <w:t xml:space="preserve">Brandenburg genannten Anforderungen und Grundsätzen bleibt auf den bisher</w:t>
      </w:r>
    </w:p>
    <w:p>
      <w:r>
        <w:t xml:space="preserve">rechtmäßig dafür genutzten Flächen mit der Maßgabe zulässig, dass</w:t>
      </w:r>
    </w:p>
    <w:p>
      <w:r>
        <w:t xml:space="preserve">die Holznutzung ausschließlich durch Einzelstammentnahme mit</w:t>
      </w:r>
    </w:p>
    <w:p>
      <w:r>
        <w:t xml:space="preserve">dem Ziel der Erhaltung und Entwicklung der in § 3 genannten Biotope erfolgt,</w:t>
      </w:r>
    </w:p>
    <w:p>
      <w:r>
        <w:t xml:space="preserve">wobei der über den Wacholdergebüschen vorhandene Kiefernaltholz-Schirm bis zum</w:t>
      </w:r>
    </w:p>
    <w:p>
      <w:r>
        <w:t xml:space="preserve">natürlichen Absterben der Kiefern zu erhalten ist;</w:t>
      </w:r>
    </w:p>
    <w:p>
      <w:r>
        <w:t xml:space="preserve">je Hektar mindestens fünf Stück stehendes Totholz mit mehr als</w:t>
      </w:r>
    </w:p>
    <w:p>
      <w:r>
        <w:t xml:space="preserve">35 Zentimeter Durchmesser in 1,30 Meter Höhe über dem Stammfuß nicht gefällt</w:t>
      </w:r>
    </w:p>
    <w:p>
      <w:r>
        <w:t xml:space="preserve">wird sowie zwei Stück liegendes Totholz mit einem Durchmesser von mehr als</w:t>
      </w:r>
    </w:p>
    <w:p>
      <w:r>
        <w:t xml:space="preserve">65 Zentimetern am stärksten Ende als ganzer Baum im Bestand verbleibt;</w:t>
      </w:r>
    </w:p>
    <w:p>
      <w:r>
        <w:t xml:space="preserve">die Waldverjüngung ausschließlich durch Naturverjüngung mit</w:t>
      </w:r>
    </w:p>
    <w:p>
      <w:r>
        <w:t xml:space="preserve">standortheimischen Baumarten der potenziell natürlichen Waldgesellschaft</w:t>
      </w:r>
    </w:p>
    <w:p>
      <w:r>
        <w:t xml:space="preserve">erfolgt;</w:t>
      </w:r>
    </w:p>
    <w:p>
      <w:r>
        <w:t xml:space="preserve">keine flächige, in den Mineralboden eingreifende</w:t>
      </w:r>
    </w:p>
    <w:p>
      <w:r>
        <w:t xml:space="preserve">Bodenbearbeitung erfolgt;</w:t>
      </w:r>
    </w:p>
    <w:p>
      <w:r>
        <w:t xml:space="preserve">bei Holzerntemaßnahmen Schäden am Bestand und Boden vermieden</w:t>
      </w:r>
    </w:p>
    <w:p>
      <w:r>
        <w:t xml:space="preserve">werden sowie kein flächiges Befahren der Bestände erfolgt;</w:t>
      </w:r>
    </w:p>
    <w:p>
      <w:r>
        <w:t xml:space="preserve">Absatz 2 Nr. 3 und 4 gilt, wobei Bodenschutzkalkungen</w:t>
      </w:r>
    </w:p>
    <w:p>
      <w:r>
        <w:t xml:space="preserve">außerhalb der Formationen von Juniperus communis auf Kalkheiden und -rasen</w:t>
      </w:r>
    </w:p>
    <w:p>
      <w:r>
        <w:t xml:space="preserve">zulässig bleiben;</w:t>
      </w:r>
    </w:p>
    <w:p>
      <w:r>
        <w:t xml:space="preserve">Stubben nicht gerodet und Bäume mit Horsten oder Höhlen nicht</w:t>
      </w:r>
    </w:p>
    <w:p>
      <w:r>
        <w:t xml:space="preserve">gefällt werden.</w:t>
      </w:r>
    </w:p>
    <w:p>
      <w:r>
        <w:rPr>
          <w:color w:val="555555"/>
          <w:sz w:val="17"/>
        </w:rPr>
        <w:t xml:space="preserve">Zitiervorschlag: § 4 VO-ID212328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https://recht.nulegal.eu/gesetze/VO-ID212328/4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