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VO-ID212328 (Brandenburg) — Schutzzweck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Schutzwaldes, der einen</w:t>
      </w:r>
    </w:p>
    <w:p>
      <w:r>
        <w:t xml:space="preserve">wärmebegünstigten Südhang am Rand der Lebuser Moränenplatte umfasst, ist</w:t>
      </w:r>
    </w:p>
    <w:p>
      <w:r>
        <w:t xml:space="preserve">die Erhaltung, Entwicklung und Wiederherstellung eines durch</w:t>
      </w:r>
    </w:p>
    <w:p>
      <w:r>
        <w:t xml:space="preserve">historische Nutzungsformen entstandenen Wald- und Heidebiotopkomplexes aus</w:t>
      </w:r>
    </w:p>
    <w:p>
      <w:r>
        <w:t xml:space="preserve">Kiefernwäldern trockenwarmer Standorte mit im Unterstand flächig vorkommenden</w:t>
      </w:r>
    </w:p>
    <w:p>
      <w:r>
        <w:t xml:space="preserve">Gebüschen des Gemeinen Wacholders (Juniperus communis);</w:t>
      </w:r>
    </w:p>
    <w:p>
      <w:r>
        <w:t xml:space="preserve">die Erhaltung und Entwicklung des Gebietes als Lebensraum</w:t>
      </w:r>
    </w:p>
    <w:p>
      <w:r>
        <w:t xml:space="preserve">gefährdeter Pflanzenarten der trockenwarmen Wälder, Heiden und Magerrasen mäßig</w:t>
      </w:r>
    </w:p>
    <w:p>
      <w:r>
        <w:t xml:space="preserve">saurer bis basenreicher Standorte;</w:t>
      </w:r>
    </w:p>
    <w:p>
      <w:r>
        <w:t xml:space="preserve">die Wiederherstellung und Entwicklung eines</w:t>
      </w:r>
    </w:p>
    <w:p>
      <w:r>
        <w:t xml:space="preserve">edellaubholzreichen Hangmischwaldes mit einer standortgemäßen gebietsheimischen</w:t>
      </w:r>
    </w:p>
    <w:p>
      <w:r>
        <w:t xml:space="preserve">Bestockung und naturnahen Waldstruktur im Bereich einer Geländerinne.</w:t>
      </w:r>
    </w:p>
    <w:p>
      <w:r>
        <w:t xml:space="preserve">(2) Die Unterschutzstellung dient der Erhaltung</w:t>
      </w:r>
    </w:p>
    <w:p>
      <w:r>
        <w:t xml:space="preserve">und Entwicklung des Gebietes von gemeinschaftlicher Bedeutung „Wacholderhänge</w:t>
      </w:r>
    </w:p>
    <w:p>
      <w:r>
        <w:t xml:space="preserve">Lossow“ mit der Gebietsnummer DE 3752-302 (§ 2a Abs. 1 Nr. 8 des</w:t>
      </w:r>
    </w:p>
    <w:p>
      <w:r>
        <w:t xml:space="preserve">Brandenburgischen Naturschutzgesetzes) mit seinem Vorkommen von „Formationen von</w:t>
      </w:r>
    </w:p>
    <w:p>
      <w:r>
        <w:t xml:space="preserve">Juniperus communis auf Kalkheiden und -rasen“ als Biotop von gemeinschaftlichem</w:t>
      </w:r>
    </w:p>
    <w:p>
      <w:r>
        <w:t xml:space="preserve">Interesse („natürlicher Lebensraumtyp“ im Sinne des Anhangs I der Richtlinie</w:t>
      </w:r>
    </w:p>
    <w:p>
      <w:r>
        <w:t xml:space="preserve">92/43/EWG).</w:t>
      </w:r>
    </w:p>
    <w:p>
      <w:r>
        <w:rPr>
          <w:color w:val="555555"/>
          <w:sz w:val="17"/>
        </w:rPr>
        <w:t xml:space="preserve">Zitiervorschlag: § 3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