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VO-ID212328 (Brandenburg) — Inkrafttreten</w:t>
      </w:r>
    </w:p>
    <w:p>
      <w:r>
        <w:rPr>
          <w:color w:val="555555"/>
          <w:sz w:val="18"/>
        </w:rPr>
        <w:t xml:space="preserve">Verordnung über den Schutzwald „Wacholderhänge Lossow“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</w:t>
      </w:r>
    </w:p>
    <w:p>
      <w:r>
        <w:t xml:space="preserve">in Kraft.</w:t>
      </w:r>
    </w:p>
    <w:p>
      <w:r>
        <w:t xml:space="preserve">Potsdam, den 25. Juni 2008</w:t>
      </w:r>
    </w:p>
    <w:p>
      <w:r>
        <w:t xml:space="preserve">Der Minister für Ländliche Entwicklung,</w:t>
      </w:r>
    </w:p>
    <w:p>
      <w:r>
        <w:t xml:space="preserve">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11 VO-ID212328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https://recht.nulegal.eu/gesetze/VO-ID212328/11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