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VO-ID212327 (Brandenburg) — Befreiungen</w:t>
      </w:r>
    </w:p>
    <w:p>
      <w:r>
        <w:rPr>
          <w:color w:val="555555"/>
          <w:sz w:val="18"/>
        </w:rPr>
        <w:t xml:space="preserve">Verordnung zur Festsetzung des Wasserschutzgebietes Lübbenau/Spreewald Lubnjow/Blota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 und 5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offenbar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Nr. 25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Befristungen, Bedingungen und Auflagen verbunden werden und erfolgt durch schriftlichen oder elektronischen Bescheid 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VO-ID212327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