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VO-ID212327 (Brandenburg) — Schutz der Zone I</w:t>
      </w:r>
    </w:p>
    <w:p>
      <w:r>
        <w:rPr>
          <w:color w:val="555555"/>
          <w:sz w:val="18"/>
        </w:rPr>
        <w:t xml:space="preserve">Verordnung zur Festsetzung des Wasserschutzgebietes Lübbenau/Spreewald Lubnjow/Blota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der Zonen III und II gelten auch in der Zone I. In der Zone I sind außerdem verboten:</w:t>
      </w:r>
    </w:p>
    <w:p>
      <w:r>
        <w:t xml:space="preserve">das Betreten oder Befahren,</w:t>
      </w:r>
    </w:p>
    <w:p>
      <w:r>
        <w:t xml:space="preserve">land-, forst- oder gartenbauliche Nutzung,</w:t>
      </w:r>
    </w:p>
    <w:p>
      <w:r>
        <w:t xml:space="preserve">Veränderungen oder Aufschlüsse der Erdoberfläche.</w:t>
      </w:r>
    </w:p>
    <w:p>
      <w:r>
        <w:rPr>
          <w:color w:val="555555"/>
          <w:sz w:val="17"/>
        </w:rPr>
        <w:t xml:space="preserve">Zitiervorschlag: § 5 VO-ID212327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https://recht.nulegal.eu/gesetze/VO-ID212327/5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