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VO-ID212327 (Brandenburg) — Entschädigung und Ausgleich</w:t>
      </w:r>
    </w:p>
    <w:p>
      <w:r>
        <w:rPr>
          <w:color w:val="555555"/>
          <w:sz w:val="18"/>
        </w:rPr>
        <w:t xml:space="preserve">Verordnung zur Festsetzung des Wasserschutzgebietes Lübbenau/Spreewald Lubnjow/Blota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Entschädigung und Ausgleich sind nach Maßgabe des § 16 des Brandenburgischen Wassergesetzes zu leisten.</w:t>
      </w:r>
    </w:p>
    <w:p>
      <w:r>
        <w:rPr>
          <w:color w:val="555555"/>
          <w:sz w:val="17"/>
        </w:rPr>
        <w:t xml:space="preserve">Zitiervorschlag: § 10 VO-ID212327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https://recht.nulegal.eu/gesetze/VO-ID212327/10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