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VO-ID212322 (Brandenburg)</w:t>
      </w:r>
    </w:p>
    <w:p>
      <w:r>
        <w:rPr>
          <w:color w:val="555555"/>
          <w:sz w:val="18"/>
        </w:rPr>
        <w:t xml:space="preserve">Verordnung zur Aufhebung der Verordnung über die Bewirtschaftungsbezirke für Schalenwild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über die Bewirtschaftungsbezirke</w:t>
      </w:r>
    </w:p>
    <w:p>
      <w:r>
        <w:t xml:space="preserve">für Schalenwild vom 10. Februar 1998 (GVBl. II S. 222) wird zum 1. April 2009</w:t>
      </w:r>
    </w:p>
    <w:p>
      <w:r>
        <w:t xml:space="preserve">aufgehoben.</w:t>
      </w:r>
    </w:p>
    <w:p>
      <w:r>
        <w:rPr>
          <w:color w:val="555555"/>
          <w:sz w:val="17"/>
        </w:rPr>
        <w:t xml:space="preserve">Zitiervorschlag: § 1 VO-ID212322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