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VO-ID212317 (Brandenburg)</w:t>
      </w:r>
    </w:p>
    <w:p>
      <w:r>
        <w:rPr>
          <w:color w:val="555555"/>
          <w:sz w:val="18"/>
        </w:rPr>
        <w:t xml:space="preserve">Verordnung über die Festsetzung des Mindestumfanges der vermarktbaren Erzeugung nach der EG-Obst- und Gemüse-Durchführungsverordnung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Abweichend von</w:t>
      </w:r>
    </w:p>
    <w:p>
      <w:r>
        <w:t xml:space="preserve">den Artikeln 64 und 66 Absatz 1 der Verordnung (EG) Nr. 1580/2007 der Kommission</w:t>
      </w:r>
    </w:p>
    <w:p>
      <w:r>
        <w:t xml:space="preserve">vom 21. Dezember 2007 mit Durchführungsbestimmungen zu den Verordnungen (EG) Nr.</w:t>
      </w:r>
    </w:p>
    <w:p>
      <w:r>
        <w:t xml:space="preserve">2200/96, (EG) Nr. 2201/96 und (EG) Nr. 1182/2007 des Rates im Sektor Obst und</w:t>
      </w:r>
    </w:p>
    <w:p>
      <w:r>
        <w:t xml:space="preserve">Gemüse (ABl. L 350 vom 31.12.2007, S. 1), die zuletzt durch Verordnung (EG) Nr.</w:t>
      </w:r>
    </w:p>
    <w:p>
      <w:r>
        <w:t xml:space="preserve">292/2008 (ABl. L 90 vom 2.4.2008, S. 3) geändert worden ist, in der jeweils</w:t>
      </w:r>
    </w:p>
    <w:p>
      <w:r>
        <w:t xml:space="preserve">geltenden Fassung werden die Fristen zur Vorlage der operationellen Programme</w:t>
      </w:r>
    </w:p>
    <w:p>
      <w:r>
        <w:t xml:space="preserve">und für Anträge auf Änd erung der</w:t>
      </w:r>
    </w:p>
    <w:p>
      <w:r>
        <w:t xml:space="preserve">operationellen Programme jeweils bis zum 15. Ok tober eines jeden Jahres</w:t>
      </w:r>
    </w:p>
    <w:p>
      <w:r>
        <w:t xml:space="preserve">verlängert.</w:t>
      </w:r>
    </w:p>
    <w:p>
      <w:r>
        <w:rPr>
          <w:color w:val="555555"/>
          <w:sz w:val="17"/>
        </w:rPr>
        <w:t xml:space="preserve">Zitiervorschlag: § 2 VO-ID212317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https://recht.nulegal.eu/gesetze/VO-ID212317/2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