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VO-ID212316 (Brandenburg)</w:t>
      </w:r>
    </w:p>
    <w:p>
      <w:r>
        <w:rPr>
          <w:color w:val="555555"/>
          <w:sz w:val="18"/>
        </w:rPr>
        <w:t xml:space="preserve">Verordnung zur Festsetzung der Regelsätze für den gesamten Bedarf des notwendigen Lebensunterhalts außerhalb von Einrichtungen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</w:t>
      </w:r>
    </w:p>
    <w:p>
      <w:r>
        <w:t xml:space="preserve">der Landesregierung zur Festsetzung der Höhe der monatlichen Regelsätze durch</w:t>
      </w:r>
    </w:p>
    <w:p>
      <w:r>
        <w:t xml:space="preserve">Rechtsverordnung nach § 28 Abs. 2 Satz 1 des Zwölften Buches Sozialgesetzbuch</w:t>
      </w:r>
    </w:p>
    <w:p>
      <w:r>
        <w:t xml:space="preserve">wird auf das für Soziales zuständige Mitglied der Landesregierung übertragen.</w:t>
      </w:r>
    </w:p>
    <w:p>
      <w:r>
        <w:rPr>
          <w:color w:val="555555"/>
          <w:sz w:val="17"/>
        </w:rPr>
        <w:t xml:space="preserve">Zitiervorschlag: § 2 VO-ID212316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https://recht.nulegal.eu/gesetze/VO-ID212316/2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