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VO-ID212302 (Brandenburg) — Befreiungen</w:t>
      </w:r>
    </w:p>
    <w:p>
      <w:r>
        <w:rPr>
          <w:color w:val="555555"/>
          <w:sz w:val="18"/>
        </w:rPr>
        <w:t xml:space="preserve">Verordnung über das Naturschutzgebiet „Booßener Teichgebiet“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</w:t>
      </w:r>
    </w:p>
    <w:p>
      <w:r>
        <w:t xml:space="preserve">Verboten dieser Verordnung kann die zuständige Naturschutzbehörde auf Antrag</w:t>
      </w:r>
    </w:p>
    <w:p>
      <w:r>
        <w:t xml:space="preserve">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VO-ID212302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https://recht.nulegal.eu/gesetze/VO-ID212302/7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VO-ID212302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