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VO-ID212302 (Brandenburg) — Zulässige Handlungen</w:t>
      </w:r>
    </w:p>
    <w:p>
      <w:r>
        <w:rPr>
          <w:color w:val="555555"/>
          <w:sz w:val="18"/>
        </w:rPr>
        <w:t xml:space="preserve">Verordnung über das Naturschutzgebiet „Booßener Teichgebiet“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</w:t>
      </w:r>
    </w:p>
    <w:p>
      <w:r>
        <w:t xml:space="preserve">Ausgenommen von den Verboten des § 4 bleiben folgende Handlungen:</w:t>
      </w:r>
    </w:p>
    <w:p>
      <w:r>
        <w:t xml:space="preserve">die den in §</w:t>
      </w:r>
    </w:p>
    <w:p>
      <w:r>
        <w:t xml:space="preserve">1b Abs. 4 des Brandenburgischen Naturschutzgesetzes genannten Anforderungen und</w:t>
      </w:r>
    </w:p>
    <w:p>
      <w:r>
        <w:t xml:space="preserve">Grundsätzen der guten fachlichen Praxis entsprechende landwirtschaftliche</w:t>
      </w:r>
    </w:p>
    <w:p>
      <w:r>
        <w:t xml:space="preserve">Bodennutzung in der bisherigen Art und im bisherigen Umfang auf den bisher</w:t>
      </w:r>
    </w:p>
    <w:p>
      <w:r>
        <w:t xml:space="preserve">rechtmäßig dafür genutzten Flächen mit der Maßgabe, dass</w:t>
      </w:r>
    </w:p>
    <w:p>
      <w:r>
        <w:t xml:space="preserve">Grünland als</w:t>
      </w:r>
    </w:p>
    <w:p>
      <w:r>
        <w:t xml:space="preserve">Wiese oder Weide genutzt wird und die jährliche Zufuhr an Pflanzennährstoffen</w:t>
      </w:r>
    </w:p>
    <w:p>
      <w:r>
        <w:t xml:space="preserve">über Düngemittel inklusive der Exkremente von Weidetieren je Hektar Grünland die</w:t>
      </w:r>
    </w:p>
    <w:p>
      <w:r>
        <w:t xml:space="preserve">Menge nicht überschreitet, die dem Nährstoffäquivalent des Dunganfalls von 1,4</w:t>
      </w:r>
    </w:p>
    <w:p>
      <w:r>
        <w:t xml:space="preserve">Großvieheinheiten (GVE) entspricht, ohne chemisch-synthetische</w:t>
      </w:r>
    </w:p>
    <w:p>
      <w:r>
        <w:t xml:space="preserve">Stickstoffdüngemittel, Gülle und Sekundärrohstoffdünger (zum Beispiel Abwasser,</w:t>
      </w:r>
    </w:p>
    <w:p>
      <w:r>
        <w:t xml:space="preserve">Klärschlamm und Bioabfälle) einzusetzen,</w:t>
      </w:r>
    </w:p>
    <w:p>
      <w:r>
        <w:t xml:space="preserve">auf Grünland §</w:t>
      </w:r>
    </w:p>
    <w:p>
      <w:r>
        <w:t xml:space="preserve">4 Abs. 2 Nr. 23 und 24 weiter gilt, wobei bei Narbenschäden eine partielle,</w:t>
      </w:r>
    </w:p>
    <w:p>
      <w:r>
        <w:t xml:space="preserve">umbruchlose Neueinsaat mit Zustimmung der zuständigen unteren Naturschutzbehörde</w:t>
      </w:r>
    </w:p>
    <w:p>
      <w:r>
        <w:t xml:space="preserve">zulässig ist,</w:t>
      </w:r>
    </w:p>
    <w:p>
      <w:r>
        <w:t xml:space="preserve">Gehölze in</w:t>
      </w:r>
    </w:p>
    <w:p>
      <w:r>
        <w:t xml:space="preserve">geeigneter Weise gegen Verbiss und sonstige Beschädigungen sowie Ränder von</w:t>
      </w:r>
    </w:p>
    <w:p>
      <w:r>
        <w:t xml:space="preserve">Gewässern wirksam gegen Trittschäden von weidenden Nutztieren geschützt werden,</w:t>
      </w:r>
    </w:p>
    <w:p>
      <w:r>
        <w:t xml:space="preserve">bei der</w:t>
      </w:r>
    </w:p>
    <w:p>
      <w:r>
        <w:t xml:space="preserve">Nutzung der Ackerflächen in der Zone 1 der Einsatz von chemisch-synthetischen</w:t>
      </w:r>
    </w:p>
    <w:p>
      <w:r>
        <w:t xml:space="preserve">Düngemitteln, Herbiziden und Insektiziden unzulässig ist;</w:t>
      </w:r>
    </w:p>
    <w:p>
      <w:r>
        <w:t xml:space="preserve">die den in §</w:t>
      </w:r>
    </w:p>
    <w:p>
      <w:r>
        <w:t xml:space="preserve">1b Abs. 5 des Brandenburgischen Naturschutzgesetzes genannten Anforderungen</w:t>
      </w:r>
    </w:p>
    <w:p>
      <w:r>
        <w:t xml:space="preserve">entsprechende forstwirtschaftliche Bodennutzung in der bisherigen Art und im</w:t>
      </w:r>
    </w:p>
    <w:p>
      <w:r>
        <w:t xml:space="preserve">bisherigen Umfang auf den bisher rechtmäßig genutzten Flächen mit der Maßgabe,</w:t>
      </w:r>
    </w:p>
    <w:p>
      <w:r>
        <w:t xml:space="preserve">dass</w:t>
      </w:r>
    </w:p>
    <w:p>
      <w:r>
        <w:t xml:space="preserve">nur Arten der</w:t>
      </w:r>
    </w:p>
    <w:p>
      <w:r>
        <w:t xml:space="preserve">potenziell natürlichen Vegetation eingebracht werden dürfen, wobei nur heimische</w:t>
      </w:r>
    </w:p>
    <w:p>
      <w:r>
        <w:t xml:space="preserve">Baumarten unter Ausschluss eingebürgerter Arten zu verwenden sind.</w:t>
      </w:r>
    </w:p>
    <w:p>
      <w:r>
        <w:t xml:space="preserve">Nebenbaumarten dürfen dabei nicht als Hauptbaumarten eingesetzt werden,</w:t>
      </w:r>
    </w:p>
    <w:p>
      <w:r>
        <w:t xml:space="preserve">auf den</w:t>
      </w:r>
    </w:p>
    <w:p>
      <w:r>
        <w:t xml:space="preserve">Flächen der in § 3 Abs. 2 Nr. 2 genannten Waldgesellschaft eine Nutzung nur</w:t>
      </w:r>
    </w:p>
    <w:p>
      <w:r>
        <w:t xml:space="preserve">einzelstamm- bis truppweise erfolgt und hydromorphe Böden sowie Böden mit einem</w:t>
      </w:r>
    </w:p>
    <w:p>
      <w:r>
        <w:t xml:space="preserve">hohen Anteil an feinkörnigem Substrat nur bei Frost oder in Trockenperioden auf</w:t>
      </w:r>
    </w:p>
    <w:p>
      <w:r>
        <w:t xml:space="preserve">dauerhaft festgelegten Rückegassen befahren werden,</w:t>
      </w:r>
    </w:p>
    <w:p>
      <w:r>
        <w:t xml:space="preserve">je Hektar</w:t>
      </w:r>
    </w:p>
    <w:p>
      <w:r>
        <w:t xml:space="preserve">mindestens fünf Stück stehendes Totholz mit mehr als 30 Zentimeter Durchmesser</w:t>
      </w:r>
    </w:p>
    <w:p>
      <w:r>
        <w:t xml:space="preserve">in 1,30 Meter Höhe über dem Stammfuß nicht gefällt werden und liegendes Totholz</w:t>
      </w:r>
    </w:p>
    <w:p>
      <w:r>
        <w:t xml:space="preserve">an Ort und Stelle verbleibt,</w:t>
      </w:r>
    </w:p>
    <w:p>
      <w:r>
        <w:t xml:space="preserve">mindestens</w:t>
      </w:r>
    </w:p>
    <w:p>
      <w:r>
        <w:t xml:space="preserve">fünf Stämme je Hektar mit einem Mindestdurchmesser von 30 Zentimetern in 1,30</w:t>
      </w:r>
    </w:p>
    <w:p>
      <w:r>
        <w:t xml:space="preserve">Meter Höhe über dem Stammfuß bis zum Absterben aus der Nutzung genommen sein</w:t>
      </w:r>
    </w:p>
    <w:p>
      <w:r>
        <w:t xml:space="preserve">müssen,</w:t>
      </w:r>
    </w:p>
    <w:p>
      <w:r>
        <w:t xml:space="preserve">§ 4 Abs. 1 Nr.</w:t>
      </w:r>
    </w:p>
    <w:p>
      <w:r>
        <w:t xml:space="preserve">23 gilt;</w:t>
      </w:r>
    </w:p>
    <w:p>
      <w:r>
        <w:t xml:space="preserve">die den in §</w:t>
      </w:r>
    </w:p>
    <w:p>
      <w:r>
        <w:t xml:space="preserve">1b Abs. 6 des Brandenburgischen Naturschutzgesetzes genannten Anforderungen in</w:t>
      </w:r>
    </w:p>
    <w:p>
      <w:r>
        <w:t xml:space="preserve">Verbindung mit dem Fischereigesetz für das Land Brandenburg entsprechende</w:t>
      </w:r>
    </w:p>
    <w:p>
      <w:r>
        <w:t xml:space="preserve">fischereiwirtschaftliche Flächennutzung einschließlich der Teichwirtschaft in</w:t>
      </w:r>
    </w:p>
    <w:p>
      <w:r>
        <w:t xml:space="preserve">der bisherigen Art und im bisherigen Umfang auf den bisher rechtmäßig dafür</w:t>
      </w:r>
    </w:p>
    <w:p>
      <w:r>
        <w:t xml:space="preserve">genutzten Flächen mit der Maßgabe, dass</w:t>
      </w:r>
    </w:p>
    <w:p>
      <w:r>
        <w:t xml:space="preserve">der</w:t>
      </w:r>
    </w:p>
    <w:p>
      <w:r>
        <w:t xml:space="preserve">landseitige Schilfschnitt nur in der Zeit vom 31. Juli eines jeden Jahres bis</w:t>
      </w:r>
    </w:p>
    <w:p>
      <w:r>
        <w:t xml:space="preserve">zum 1. März des Folgejahres durchgeführt wird,</w:t>
      </w:r>
    </w:p>
    <w:p>
      <w:r>
        <w:t xml:space="preserve">Fanggeräte und</w:t>
      </w:r>
    </w:p>
    <w:p>
      <w:r>
        <w:t xml:space="preserve">Fangmittel so einzusetzen oder auszustatten sind, dass eine Gefährdung von</w:t>
      </w:r>
    </w:p>
    <w:p>
      <w:r>
        <w:t xml:space="preserve">Bibern und Fischottern weitgehend ausgeschlossen ist;</w:t>
      </w:r>
    </w:p>
    <w:p>
      <w:r>
        <w:t xml:space="preserve">im Bereich der fischereilich genutzten Teiche kann die zuständige Naturschutzbehörde Maßnahmen</w:t>
      </w:r>
    </w:p>
    <w:p>
      <w:r>
        <w:t xml:space="preserve">zur Vergrämung und Tötung von Kormoranen genehmigen, sofern hierfür die</w:t>
      </w:r>
    </w:p>
    <w:p>
      <w:r>
        <w:t xml:space="preserve">erforderliche artenschutzrechtliche Ausnahmegenehmigung oder Befreiung vorliegt.</w:t>
      </w:r>
    </w:p>
    <w:p>
      <w:r>
        <w:t xml:space="preserve">Die Genehmigung kann mit Auflagen versehen werden; sie ist zu erteilen, wenn der</w:t>
      </w:r>
    </w:p>
    <w:p>
      <w:r>
        <w:t xml:space="preserve">Schutzzweck von der Maßnahme nicht wesentlich beeinträchtigt wird;</w:t>
      </w:r>
    </w:p>
    <w:p>
      <w:r>
        <w:t xml:space="preserve">die</w:t>
      </w:r>
    </w:p>
    <w:p>
      <w:r>
        <w:t xml:space="preserve">rechtmäßige Ausübung der Angelfischerei an dem in der topografischen Karte</w:t>
      </w:r>
    </w:p>
    <w:p>
      <w:r>
        <w:t xml:space="preserve">eingezeichneten Teich 1 mit der Maßgabe, dass</w:t>
      </w:r>
    </w:p>
    <w:p>
      <w:r>
        <w:t xml:space="preserve">Röhrichte und</w:t>
      </w:r>
    </w:p>
    <w:p>
      <w:r>
        <w:t xml:space="preserve">sonstige Ufervegetation nicht beschädigt werden und eine Beeinträchtigung von röhrichtbrütenden Vögeln ausgeschlossen bleibt,</w:t>
      </w:r>
    </w:p>
    <w:p>
      <w:r>
        <w:t xml:space="preserve">das</w:t>
      </w:r>
    </w:p>
    <w:p>
      <w:r>
        <w:t xml:space="preserve">Nachtangeln verboten ist;</w:t>
      </w:r>
    </w:p>
    <w:p>
      <w:r>
        <w:t xml:space="preserve">für den</w:t>
      </w:r>
    </w:p>
    <w:p>
      <w:r>
        <w:t xml:space="preserve">Bereich der Jagd:</w:t>
      </w:r>
    </w:p>
    <w:p>
      <w:r>
        <w:t xml:space="preserve">die</w:t>
      </w:r>
    </w:p>
    <w:p>
      <w:r>
        <w:t xml:space="preserve">rechtmäßige Ausübung der Jagd mit der Maßgabe, dass</w:t>
      </w:r>
    </w:p>
    <w:p>
      <w:r>
        <w:t xml:space="preserve">aa) die Jagd auf</w:t>
      </w:r>
    </w:p>
    <w:p>
      <w:r>
        <w:t xml:space="preserve">Federwild vor dem 1. November eines jeden Jahres nur durch eine eintägige</w:t>
      </w:r>
    </w:p>
    <w:p>
      <w:r>
        <w:t xml:space="preserve">Gesellschaftsjagd im September erfolgt,</w:t>
      </w:r>
    </w:p>
    <w:p>
      <w:r>
        <w:t xml:space="preserve">bb) die Fallenjagd</w:t>
      </w:r>
    </w:p>
    <w:p>
      <w:r>
        <w:t xml:space="preserve">nur mit Lebendfallen erfolgt,</w:t>
      </w:r>
    </w:p>
    <w:p>
      <w:r>
        <w:t xml:space="preserve">cc) keine Baujagd</w:t>
      </w:r>
    </w:p>
    <w:p>
      <w:r>
        <w:t xml:space="preserve">in einem Abstand von 100 Metern zum Ufer der Fließgewässer und Teiche</w:t>
      </w:r>
    </w:p>
    <w:p>
      <w:r>
        <w:t xml:space="preserve">vorgenommen wird,</w:t>
      </w:r>
    </w:p>
    <w:p>
      <w:r>
        <w:t xml:space="preserve">die Errichtung ortsunveränderlicher jagdlicher Einrichtungen zur Ansitzjagd mit Zustimmung der</w:t>
      </w:r>
    </w:p>
    <w:p>
      <w:r>
        <w:t xml:space="preserve">unteren Naturschutzbehörde. Die Zustimmung ist zu erteilen, wenn der Schutzzweck</w:t>
      </w:r>
    </w:p>
    <w:p>
      <w:r>
        <w:t xml:space="preserve">nicht beeinträchtigt wird.</w:t>
      </w:r>
    </w:p>
    <w:p>
      <w:r>
        <w:t xml:space="preserve">Transportable</w:t>
      </w:r>
    </w:p>
    <w:p>
      <w:r>
        <w:t xml:space="preserve">und mobile Ansitzeinrichtungen sind der unteren Naturschutzbehörde vor der</w:t>
      </w:r>
    </w:p>
    <w:p>
      <w:r>
        <w:t xml:space="preserve">Errichtung anzuzeigen. Die Naturschutzbehörde kann in begründeten Einzelfällen</w:t>
      </w:r>
    </w:p>
    <w:p>
      <w:r>
        <w:t xml:space="preserve">das Aufstellen verbieten, wenn es dem Schutzzweck entgegensteht. Die</w:t>
      </w:r>
    </w:p>
    <w:p>
      <w:r>
        <w:t xml:space="preserve">Entscheidung hierzu soll unverzüglich erfolgen,</w:t>
      </w:r>
    </w:p>
    <w:p>
      <w:r>
        <w:t xml:space="preserve">die Anlage von Kirrungen außerhalb gesetzlich geschützter Biotope.</w:t>
      </w:r>
    </w:p>
    <w:p>
      <w:r>
        <w:t xml:space="preserve">Im Übrigen</w:t>
      </w:r>
    </w:p>
    <w:p>
      <w:r>
        <w:t xml:space="preserve">bleibt die Anlage von Ablenkfütterungen, Kirrungen, Ansaatwildwiesen und</w:t>
      </w:r>
    </w:p>
    <w:p>
      <w:r>
        <w:t xml:space="preserve">Wildäckern unzulässig;</w:t>
      </w:r>
    </w:p>
    <w:p>
      <w:r>
        <w:t xml:space="preserve">das</w:t>
      </w:r>
    </w:p>
    <w:p>
      <w:r>
        <w:t xml:space="preserve">winterliche Betreten der Eisfläche des in der topografischen Karte</w:t>
      </w:r>
    </w:p>
    <w:p>
      <w:r>
        <w:t xml:space="preserve">eingezeichneten Teiches 1;</w:t>
      </w:r>
    </w:p>
    <w:p>
      <w:r>
        <w:t xml:space="preserve">die im Sinne</w:t>
      </w:r>
    </w:p>
    <w:p>
      <w:r>
        <w:t xml:space="preserve">des § 10 des Brandenburgischen Straßengesetzes ordnungsgemäße Unterhaltung der</w:t>
      </w:r>
    </w:p>
    <w:p>
      <w:r>
        <w:t xml:space="preserve">dem öffentlichen Verkehr gewidmeten Straßen und Wege sowie die ordnungsgemäße</w:t>
      </w:r>
    </w:p>
    <w:p>
      <w:r>
        <w:t xml:space="preserve">Unterhaltung sonstiger rechtmäßig bestehender Anlagen jeweils im Einvernehmen</w:t>
      </w:r>
    </w:p>
    <w:p>
      <w:r>
        <w:t xml:space="preserve">mit der unteren Naturschutzbehörde;</w:t>
      </w:r>
    </w:p>
    <w:p>
      <w:r>
        <w:t xml:space="preserve">die im Sinne</w:t>
      </w:r>
    </w:p>
    <w:p>
      <w:r>
        <w:t xml:space="preserve">des § 28 des Wasserhaushaltsgesetzes und des § 78 des Brandenburgischen</w:t>
      </w:r>
    </w:p>
    <w:p>
      <w:r>
        <w:t xml:space="preserve">Wassergesetzes ordnungsgemäße Unterhaltung der Gewässer, die den in § 3</w:t>
      </w:r>
    </w:p>
    <w:p>
      <w:r>
        <w:t xml:space="preserve">aufgeführten Schutzgütern nicht entgegensteht;</w:t>
      </w:r>
    </w:p>
    <w:p>
      <w:r>
        <w:t xml:space="preserve">der Betrieb von Anlagen für die öffentliche Wasserversorgung, von</w:t>
      </w:r>
    </w:p>
    <w:p>
      <w:r>
        <w:t xml:space="preserve">Abwasseranlagen, von Messanlagen (Pegel-, Abfluss- und andere Messstellen) und</w:t>
      </w:r>
    </w:p>
    <w:p>
      <w:r>
        <w:t xml:space="preserve">sonstiger wasserwirtschaftlicher Anlagen in der bisherigen Art und im bisherigen</w:t>
      </w:r>
    </w:p>
    <w:p>
      <w:r>
        <w:t xml:space="preserve">Umfang. Die ordnungsgemäße Unterhaltung dieser Anlagen bleibt im Einvernehmen</w:t>
      </w:r>
    </w:p>
    <w:p>
      <w:r>
        <w:t xml:space="preserve">mit der unteren Naturschutzbehörde zulässig; das Einvernehmen kann durch</w:t>
      </w:r>
    </w:p>
    <w:p>
      <w:r>
        <w:t xml:space="preserve">Abstimmung eines Unterhaltungsplans hergestellt werden;</w:t>
      </w:r>
    </w:p>
    <w:p>
      <w:r>
        <w:t xml:space="preserve">die sonstigen</w:t>
      </w:r>
    </w:p>
    <w:p>
      <w:r>
        <w:t xml:space="preserve">bei Inkrafttreten dieser Verordnung auf Grund behördlicher</w:t>
      </w:r>
    </w:p>
    <w:p>
      <w:r>
        <w:t xml:space="preserve">Einzelfallentscheidung rechtmäßig ausgeübten Nutzungen und Befugnisse in der</w:t>
      </w:r>
    </w:p>
    <w:p>
      <w:r>
        <w:t xml:space="preserve">bisherigen Art und im bisherigen Umfang;</w:t>
      </w:r>
    </w:p>
    <w:p>
      <w:r>
        <w:t xml:space="preserve">Maßnahmen zur</w:t>
      </w:r>
    </w:p>
    <w:p>
      <w:r>
        <w:t xml:space="preserve">Untersuchung von altlastverdächtigen Flächen und Verdachtsflächen sowie</w:t>
      </w:r>
    </w:p>
    <w:p>
      <w:r>
        <w:t xml:space="preserve">Maßnahmen der Altlastensanierung und der Sanierung schädlicher Bodenveränderungen gemäß Bundes-Bodenschutzgesetz sowie Maßnahmen der</w:t>
      </w:r>
    </w:p>
    <w:p>
      <w:r>
        <w:t xml:space="preserve">Munitionsräumung im Einvernehmen mit der unteren Naturschutzbehörde;</w:t>
      </w:r>
    </w:p>
    <w:p>
      <w:r>
        <w:t xml:space="preserve">Schutz-, Pflege-, Entwicklungs- und</w:t>
      </w:r>
    </w:p>
    <w:p>
      <w:r>
        <w:t xml:space="preserve">Wiederherstellungsmaßnahmen, die von der unteren Naturschutzbehörde</w:t>
      </w:r>
    </w:p>
    <w:p>
      <w:r>
        <w:t xml:space="preserve">zugelassen oder angeordnet worden sind;</w:t>
      </w:r>
    </w:p>
    <w:p>
      <w:r>
        <w:t xml:space="preserve">behördliche</w:t>
      </w:r>
    </w:p>
    <w:p>
      <w:r>
        <w:t xml:space="preserve">sowie behördlich angeordnete oder zugelassene Beschilderungen, soweit sie auf</w:t>
      </w:r>
    </w:p>
    <w:p>
      <w:r>
        <w:t xml:space="preserve">den Schutzzweck des Gebietes hinweisen oder als hoheitliche Kennzeichnungen, Orts- oder Verkehrshinweise,</w:t>
      </w:r>
    </w:p>
    <w:p>
      <w:r>
        <w:t xml:space="preserve">Wegemarkierungen oder Warntafeln dienen;</w:t>
      </w:r>
    </w:p>
    <w:p>
      <w:r>
        <w:t xml:space="preserve">Maßnahmen, die</w:t>
      </w:r>
    </w:p>
    <w:p>
      <w:r>
        <w:t xml:space="preserve">der Abwehr einer unmittelbar drohenden Gefahr für die öffentliche Sicherheit und</w:t>
      </w:r>
    </w:p>
    <w:p>
      <w:r>
        <w:t xml:space="preserve">Ordnung dienen. Die untere Naturschutzbehörde ist über die getroffenen Maßnahmen</w:t>
      </w:r>
    </w:p>
    <w:p>
      <w:r>
        <w:t xml:space="preserve">unverzüglich zu unterrichten. Sie kann nachträglich ergänzende Anordnungen zur</w:t>
      </w:r>
    </w:p>
    <w:p>
      <w:r>
        <w:t xml:space="preserve">Vereinbarkeit mit dem Schutzzweck treffen.</w:t>
      </w:r>
    </w:p>
    <w:p>
      <w:r>
        <w:t xml:space="preserve">(2) Die in § 4</w:t>
      </w:r>
    </w:p>
    <w:p>
      <w:r>
        <w:t xml:space="preserve">für das Betreten und Befahren des Naturschutzgebietes enthaltenen</w:t>
      </w:r>
    </w:p>
    <w:p>
      <w:r>
        <w:t xml:space="preserve">Einschränkungen gelten nicht für die Dienstkräfte der Naturschutzbehörden, die</w:t>
      </w:r>
    </w:p>
    <w:p>
      <w:r>
        <w:t xml:space="preserve">zuständigen Naturschutzhelfer und sonstige von den Naturschutzbehörden</w:t>
      </w:r>
    </w:p>
    <w:p>
      <w:r>
        <w:t xml:space="preserve">beauftragte Personen sowie für Dienstkräfte und beauftragte Personen anderer</w:t>
      </w:r>
    </w:p>
    <w:p>
      <w:r>
        <w:t xml:space="preserve">zuständiger Behörden und Einrichtungen, soweit diese in Wahrnehmung ihrer</w:t>
      </w:r>
    </w:p>
    <w:p>
      <w:r>
        <w:t xml:space="preserve">gesetzlichen Aufgaben handeln. Sie gelten unbeschadet anderer Regelungen</w:t>
      </w:r>
    </w:p>
    <w:p>
      <w:r>
        <w:t xml:space="preserve">weiterhin nicht für Eigentümer zur Durchführung von Maßnahmen zur Sicherung des</w:t>
      </w:r>
    </w:p>
    <w:p>
      <w:r>
        <w:t xml:space="preserve">Bestandes und der zulässigen Nutzung des Eigentums sowie für das Betreten und</w:t>
      </w:r>
    </w:p>
    <w:p>
      <w:r>
        <w:t xml:space="preserve">Befahren, soweit dies zur Ausübung der nach Absatz 1 zulässigen Handlungen</w:t>
      </w:r>
    </w:p>
    <w:p>
      <w:r>
        <w:t xml:space="preserve">erforderlich ist. Das Gestattungserfordernis nach § 16 Abs. 2 des Waldgesetzes</w:t>
      </w:r>
    </w:p>
    <w:p>
      <w:r>
        <w:t xml:space="preserve">des Landes Brandenburg bleibt unberührt.</w:t>
      </w:r>
    </w:p>
    <w:p>
      <w:r>
        <w:rPr>
          <w:color w:val="555555"/>
          <w:sz w:val="17"/>
        </w:rPr>
        <w:t xml:space="preserve">Zitiervorschlag: § 5 VO-ID212302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https://recht.nulegal.eu/gesetze/VO-ID212302/5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