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VO-ID212302 (Brandenburg) — Schutzzweck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</w:t>
      </w:r>
    </w:p>
    <w:p>
      <w:r>
        <w:t xml:space="preserve">Schutzzweck des Naturschutzgebietes, das den Talraum einer Schmelzwasserrinne am</w:t>
      </w:r>
    </w:p>
    <w:p>
      <w:r>
        <w:t xml:space="preserve">Rand der Lebuser Platte mit dem Booßener Mühlenfließ, begleitende</w:t>
      </w:r>
    </w:p>
    <w:p>
      <w:r>
        <w:t xml:space="preserve">Feuchtlebensräume, Stauteiche und angrenzende Talhänge mit Trockenbiotopen</w:t>
      </w:r>
    </w:p>
    <w:p>
      <w:r>
        <w:t xml:space="preserve">umfasst, ist</w:t>
      </w:r>
    </w:p>
    <w:p>
      <w:r>
        <w:t xml:space="preserve">die Erhaltung,</w:t>
      </w:r>
    </w:p>
    <w:p>
      <w:r>
        <w:t xml:space="preserve">Wiederherstellung und Entwicklung der Lebensräume wild lebender</w:t>
      </w:r>
    </w:p>
    <w:p>
      <w:r>
        <w:t xml:space="preserve">Pflanzengesellschaften, insbesondere der Schwimmblatt- und Tauchfluren,</w:t>
      </w:r>
    </w:p>
    <w:p>
      <w:r>
        <w:t xml:space="preserve">Röhrichte und Riede, Quellfluren, feuchten und trocken-warmen Staudenfluren,</w:t>
      </w:r>
    </w:p>
    <w:p>
      <w:r>
        <w:t xml:space="preserve">Feucht- und Frischwiesen mit deren Brachestadien, Trocken- und Halbtrockenrasen,</w:t>
      </w:r>
    </w:p>
    <w:p>
      <w:r>
        <w:t xml:space="preserve">Wildkrautfluren extensiv genutzter Äcker mit Kornrade (Agrostemma githago) sowie</w:t>
      </w:r>
    </w:p>
    <w:p>
      <w:r>
        <w:t xml:space="preserve">der naturnahen Wälder und Gebüsche wie Erlenbrüche, Eichen- und</w:t>
      </w:r>
    </w:p>
    <w:p>
      <w:r>
        <w:t xml:space="preserve">Edellaubholz-Mischwälder, Dornstrauch- und Weidengebüsche;</w:t>
      </w:r>
    </w:p>
    <w:p>
      <w:r>
        <w:t xml:space="preserve">die Erhaltung</w:t>
      </w:r>
    </w:p>
    <w:p>
      <w:r>
        <w:t xml:space="preserve">und Entwicklung der Lebensräume wild lebender Pflanzenarten, darunter im Sinne</w:t>
      </w:r>
    </w:p>
    <w:p>
      <w:r>
        <w:t xml:space="preserve">von § 10 Abs. 2 Nr. 10 und 11 des Bundesnaturschutzgesetzes besonders und streng</w:t>
      </w:r>
    </w:p>
    <w:p>
      <w:r>
        <w:t xml:space="preserve">geschützte Arten, wie beispielsweise Gemeine Grasnelke (Armeria elongata),</w:t>
      </w:r>
    </w:p>
    <w:p>
      <w:r>
        <w:t xml:space="preserve">Ähriger Blauweiderich (Pseudolysimachion spicatum), Karthäuser-Nelke (Dianthus</w:t>
      </w:r>
    </w:p>
    <w:p>
      <w:r>
        <w:t xml:space="preserve">carthusianorum), Körnchen-Steinbrech (Saxifraga granulata),</w:t>
      </w:r>
    </w:p>
    <w:p>
      <w:r>
        <w:t xml:space="preserve">Wiesen-Schlüsselblume (Primula veris), Großes Zweiblatt (Listera ovata),</w:t>
      </w:r>
    </w:p>
    <w:p>
      <w:r>
        <w:t xml:space="preserve">Breitblättriges Knabenkraut (Dactylorhiza majalis), Sumpf-Sitter (Epipactis</w:t>
      </w:r>
    </w:p>
    <w:p>
      <w:r>
        <w:t xml:space="preserve">palustris), Sumpf-Herzblatt (Parnassia palustris) und Wasser-Schwertlilie (Iris</w:t>
      </w:r>
    </w:p>
    <w:p>
      <w:r>
        <w:t xml:space="preserve">pseudacorus);</w:t>
      </w:r>
    </w:p>
    <w:p>
      <w:r>
        <w:t xml:space="preserve">die Erhaltung</w:t>
      </w:r>
    </w:p>
    <w:p>
      <w:r>
        <w:t xml:space="preserve">und Entwicklung des Gebietes als Lebens- und Rückzugsraum sowie potenzielles</w:t>
      </w:r>
    </w:p>
    <w:p>
      <w:r>
        <w:t xml:space="preserve">Wiederausbreitungszentrum wild lebender Tierarten, insbesondere der Vögel,</w:t>
      </w:r>
    </w:p>
    <w:p>
      <w:r>
        <w:t xml:space="preserve">Amphibien, Reptilien und Insekten, darunter im Sinne von § 10 Abs. 2 Nr. 10 und</w:t>
      </w:r>
    </w:p>
    <w:p>
      <w:r>
        <w:t xml:space="preserve">11 des Bundesnaturschutzgesetzes besonders und streng geschützte Arten, wie</w:t>
      </w:r>
    </w:p>
    <w:p>
      <w:r>
        <w:t xml:space="preserve">beispielsweise Eisvogel (Alcedo atthis), Rothalstaucher (Podiceps grisegena),</w:t>
      </w:r>
    </w:p>
    <w:p>
      <w:r>
        <w:t xml:space="preserve">Drosselrohrsänger (Acrocephalus arundinaceus), Rohrweihe (Circus aeruginosus),</w:t>
      </w:r>
    </w:p>
    <w:p>
      <w:r>
        <w:t xml:space="preserve">Kranich (Grus grus), Fischadler (Pandion haliaetus), Rotschenkel (Tringa</w:t>
      </w:r>
    </w:p>
    <w:p>
      <w:r>
        <w:t xml:space="preserve">totanus), Grauammer (Emberiza calandra), Wendehals (Jynx torquilla) und</w:t>
      </w:r>
    </w:p>
    <w:p>
      <w:r>
        <w:t xml:space="preserve">Neuntöter (Lanius collurio), Wechselkröte (Bufo viridis), Knoblauchkröte</w:t>
      </w:r>
    </w:p>
    <w:p>
      <w:r>
        <w:t xml:space="preserve">(Pelobates fuscus), Laubfrosch (Hyla arborea), Zauneidechse (Lacerta agilis) und</w:t>
      </w:r>
    </w:p>
    <w:p>
      <w:r>
        <w:t xml:space="preserve">Europäische Sumpfschildkröte (Emys orbicularis) sowie Schwarzer Bär (Arctia</w:t>
      </w:r>
    </w:p>
    <w:p>
      <w:r>
        <w:t xml:space="preserve">villica) und Mädesüß-Perlmutterfalter (Brenthis ino);</w:t>
      </w:r>
    </w:p>
    <w:p>
      <w:r>
        <w:t xml:space="preserve">die Erhaltung</w:t>
      </w:r>
    </w:p>
    <w:p>
      <w:r>
        <w:t xml:space="preserve">der Aufschlüsse voreiszeitlicher, sandiger Glimmersedimente mit der daran</w:t>
      </w:r>
    </w:p>
    <w:p>
      <w:r>
        <w:t xml:space="preserve">gebundenen Vegetation nährstoffarmer Standorte aus erdgeschichtlichen und</w:t>
      </w:r>
    </w:p>
    <w:p>
      <w:r>
        <w:t xml:space="preserve">landeskundlichen Gründen;</w:t>
      </w:r>
    </w:p>
    <w:p>
      <w:r>
        <w:t xml:space="preserve">die Erhaltung</w:t>
      </w:r>
    </w:p>
    <w:p>
      <w:r>
        <w:t xml:space="preserve">des Gebietes zur Umweltbeobachtung und wissenschaftlichen Untersuchung</w:t>
      </w:r>
    </w:p>
    <w:p>
      <w:r>
        <w:t xml:space="preserve">ökologischer Zusammenhänge;</w:t>
      </w:r>
    </w:p>
    <w:p>
      <w:r>
        <w:t xml:space="preserve">die Erhaltung</w:t>
      </w:r>
    </w:p>
    <w:p>
      <w:r>
        <w:t xml:space="preserve">der strukturellen Vielfalt, besonderen Eigenart und hervorragenden Schönheit der</w:t>
      </w:r>
    </w:p>
    <w:p>
      <w:r>
        <w:t xml:space="preserve">Landschaft des Talraums und der reich gegliederten Hänge, die durch einen</w:t>
      </w:r>
    </w:p>
    <w:p>
      <w:r>
        <w:t xml:space="preserve">kleinräumigen Wechsel von Fließgewässern und Teichen mit ihren</w:t>
      </w:r>
    </w:p>
    <w:p>
      <w:r>
        <w:t xml:space="preserve">Begleitstrukturen, extensiv genutztem Offenland, Sukzessionsflächen, Gebüschen</w:t>
      </w:r>
    </w:p>
    <w:p>
      <w:r>
        <w:t xml:space="preserve">und Wäldern gekennzeichnet ist;</w:t>
      </w:r>
    </w:p>
    <w:p>
      <w:r>
        <w:t xml:space="preserve">die dauerhafte</w:t>
      </w:r>
    </w:p>
    <w:p>
      <w:r>
        <w:t xml:space="preserve">Erhaltung und Entwicklung des Gebietes als wesentlicher Bestandteil des</w:t>
      </w:r>
    </w:p>
    <w:p>
      <w:r>
        <w:t xml:space="preserve">regionalen Biotopverbundes zwischen den gewässer- und feuchtegeprägten</w:t>
      </w:r>
    </w:p>
    <w:p>
      <w:r>
        <w:t xml:space="preserve">Niederungsgebieten des Alt-Zeschdorfer Mühlenfließtales und des Lebuser Odertals</w:t>
      </w:r>
    </w:p>
    <w:p>
      <w:r>
        <w:t xml:space="preserve">sowie zwischen den Trockenlebensräumen entlang der Hänge dieser Gebiete.</w:t>
      </w:r>
    </w:p>
    <w:p>
      <w:r>
        <w:t xml:space="preserve">(2) Die</w:t>
      </w:r>
    </w:p>
    <w:p>
      <w:r>
        <w:t xml:space="preserve">Unterschutzstellung dient der Erhaltung und Entwicklung des Gebietes von</w:t>
      </w:r>
    </w:p>
    <w:p>
      <w:r>
        <w:t xml:space="preserve">gemeinschaftlicher Bedeutung „Booßener Teichgebiet“ sowie eines Teiles des</w:t>
      </w:r>
    </w:p>
    <w:p>
      <w:r>
        <w:t xml:space="preserve">Gebietes von gemeinschaftlicher Bedeutung „Lebuser Odertal“ (§ 2a Abs. 1 Nr. 8</w:t>
      </w:r>
    </w:p>
    <w:p>
      <w:r>
        <w:t xml:space="preserve">des Brandenburgischen Naturschutzgesetzes) mit ihren Vorkommen von</w:t>
      </w:r>
    </w:p>
    <w:p>
      <w:r>
        <w:t xml:space="preserve">Flüssen der planaren Stufe mit Vegetation des Ranunculion fluitantis und des</w:t>
      </w:r>
    </w:p>
    <w:p>
      <w:r>
        <w:t xml:space="preserve">Callitricho-Batrachion, natürlichen eutrophen Seen mit einer Vegetation des</w:t>
      </w:r>
    </w:p>
    <w:p>
      <w:r>
        <w:t xml:space="preserve">Magnopotamions oder Hydrocharitions sowie feuchten Hochstaudenfluren der</w:t>
      </w:r>
    </w:p>
    <w:p>
      <w:r>
        <w:t xml:space="preserve">planaren Stufe als natürliche Lebensraumtypen im Sinne des Anhangs I der</w:t>
      </w:r>
    </w:p>
    <w:p>
      <w:r>
        <w:t xml:space="preserve">Richtlinie 92/43/EWG;</w:t>
      </w:r>
    </w:p>
    <w:p>
      <w:r>
        <w:t xml:space="preserve">Auen-Wäldern</w:t>
      </w:r>
    </w:p>
    <w:p>
      <w:r>
        <w:t xml:space="preserve">mit Alnus glutinosa (Schwarz-Erle) und Fraxinus excelsior (Gewöhnliche Esche)</w:t>
      </w:r>
    </w:p>
    <w:p>
      <w:r>
        <w:t xml:space="preserve">(Alno-Padion) sowie trockenen, kalkreichen Sandrasen als prioritäre</w:t>
      </w:r>
    </w:p>
    <w:p>
      <w:r>
        <w:t xml:space="preserve">Lebensraumtypen im Sinne des Anhangs I der Richtlinie 92/43/EWG;</w:t>
      </w:r>
    </w:p>
    <w:p>
      <w:r>
        <w:t xml:space="preserve">Fischotter</w:t>
      </w:r>
    </w:p>
    <w:p>
      <w:r>
        <w:t xml:space="preserve">(Lutra lutra), Elbe-Biber (Castor fiber albicus) und Rotbauchunke (Bombina</w:t>
      </w:r>
    </w:p>
    <w:p>
      <w:r>
        <w:t xml:space="preserve">bombina) als Tierarten von gemeinschaftlichem Interesse im Sinne des Anhangs II</w:t>
      </w:r>
    </w:p>
    <w:p>
      <w:r>
        <w:t xml:space="preserve">der Richtlinie 92/43/EWG, einschließlich ihrer für Fortpflanzung, Ernährung,</w:t>
      </w:r>
    </w:p>
    <w:p>
      <w:r>
        <w:t xml:space="preserve">Wanderung und Überwinterung wichtigen Lebensräume.</w:t>
      </w:r>
    </w:p>
    <w:p>
      <w:r>
        <w:rPr>
          <w:color w:val="555555"/>
          <w:sz w:val="17"/>
        </w:rPr>
        <w:t xml:space="preserve">Zitiervorschlag: § 3 VO-ID212302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