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VO-ID212302 (Brandenburg) — Inkrafttreten</w:t>
      </w:r>
    </w:p>
    <w:p>
      <w:r>
        <w:rPr>
          <w:color w:val="555555"/>
          <w:sz w:val="18"/>
        </w:rPr>
        <w:t xml:space="preserve">Verordnung über das Naturschutzgebiet „Booßener Teichgebiet“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§ 5 Abs. 1 Nr.</w:t>
      </w:r>
    </w:p>
    <w:p>
      <w:r>
        <w:t xml:space="preserve">1 Buchstabe a, b und d tritt am 1. Juli 2008 in Kraft. Im Übrigen tritt diese</w:t>
      </w:r>
    </w:p>
    <w:p>
      <w:r>
        <w:t xml:space="preserve">Verordnung am Tage nach der Verkündung in Kraft.</w:t>
      </w:r>
    </w:p>
    <w:p>
      <w:r>
        <w:t xml:space="preserve">Potsdam, den</w:t>
      </w:r>
    </w:p>
    <w:p>
      <w:r>
        <w:t xml:space="preserve">26. März 2008</w:t>
      </w:r>
    </w:p>
    <w:p>
      <w:r>
        <w:t xml:space="preserve">Der Minister für</w:t>
      </w:r>
    </w:p>
    <w:p>
      <w:r>
        <w:t xml:space="preserve">Ländliche Entwicklung,</w:t>
      </w:r>
    </w:p>
    <w:p>
      <w:r>
        <w:t xml:space="preserve">Umwelt und</w:t>
      </w:r>
    </w:p>
    <w:p>
      <w:r>
        <w:t xml:space="preserve">Verbraucherschutz</w:t>
      </w:r>
    </w:p>
    <w:p>
      <w:r>
        <w:t xml:space="preserve">In Vertretung</w:t>
      </w:r>
    </w:p>
    <w:p>
      <w:r>
        <w:t xml:space="preserve">Dietmar Schulze</w:t>
      </w:r>
    </w:p>
    <w:p>
      <w:r>
        <w:rPr>
          <w:color w:val="555555"/>
          <w:sz w:val="17"/>
        </w:rPr>
        <w:t xml:space="preserve">Zitiervorschlag: § 11 VO-ID212302 (Brandenburg)</w:t>
      </w:r>
    </w:p>
    <w:p>
      <w:r>
        <w:rPr>
          <w:color w:val="555555"/>
          <w:sz w:val="17"/>
        </w:rPr>
        <w:t xml:space="preserve">Quelle: bravors, abgerufen 01.09.2026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https://recht.nulegal.eu/gesetze/VO-ID212302/11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