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VO-ID212302 (Brandenburg) — Erklärung zum Schutzgebiet</w:t>
      </w:r>
    </w:p>
    <w:p>
      <w:r>
        <w:rPr>
          <w:color w:val="555555"/>
          <w:sz w:val="18"/>
        </w:rPr>
        <w:t xml:space="preserve">Verordnung über das Naturschutzgebiet „Booßener Teichgebiet“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</w:t>
      </w:r>
    </w:p>
    <w:p>
      <w:r>
        <w:t xml:space="preserve">näher bezeichnete Fläche in der kreisfreien Stadt Frankfurt (Oder) und im</w:t>
      </w:r>
    </w:p>
    <w:p>
      <w:r>
        <w:t xml:space="preserve">Landkreis Märkisch-Oderland wird als Naturschutzgebiet festgesetzt. Das</w:t>
      </w:r>
    </w:p>
    <w:p>
      <w:r>
        <w:t xml:space="preserve">Naturschutzgebiet trägt die Bezeichnung „Booßener Teichgebiet“.</w:t>
      </w:r>
    </w:p>
    <w:p>
      <w:r>
        <w:rPr>
          <w:color w:val="555555"/>
          <w:sz w:val="17"/>
        </w:rPr>
        <w:t xml:space="preserve">Zitiervorschlag: § 1 VO-ID212302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https://recht.nulegal.eu/gesetze/VO-ID212302/1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