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VO-ID212288 (Brandenburg) — Befreiungen</w:t>
      </w:r>
    </w:p>
    <w:p>
      <w:r>
        <w:rPr>
          <w:color w:val="555555"/>
          <w:sz w:val="18"/>
        </w:rPr>
        <w:t xml:space="preserve">Verordnung über das Naturschutzgebiet „Naturentwicklungsgebiet Redernswalde“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zuständige</w:t>
      </w:r>
    </w:p>
    <w:p>
      <w:r>
        <w:t xml:space="preserve">Naturschutzbehörde auf Antrag gemäß § 72 des</w:t>
      </w:r>
    </w:p>
    <w:p>
      <w:r>
        <w:t xml:space="preserve">Brandenburgischen Naturschutzgesetzes Befreiung gewähren.</w:t>
      </w:r>
    </w:p>
    <w:p>
      <w:r>
        <w:rPr>
          <w:color w:val="555555"/>
          <w:sz w:val="17"/>
        </w:rPr>
        <w:t xml:space="preserve">Zitiervorschlag: § 5 VO-ID212288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https://recht.nulegal.eu/gesetze/VO-ID212288/5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