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VO-ID212288 (Brandenburg) — Schutzzweck</w:t>
      </w:r>
    </w:p>
    <w:p>
      <w:r>
        <w:rPr>
          <w:color w:val="555555"/>
          <w:sz w:val="18"/>
        </w:rPr>
        <w:t xml:space="preserve">Verordnung über das Naturschutzgebiet „Naturentwicklungsgebiet Redernswalde“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Naturschutzgebietes, das der direkten menschlichen</w:t>
      </w:r>
    </w:p>
    <w:p>
      <w:r>
        <w:t xml:space="preserve">Einflussnahme entzogen ist und in dem die Lebensräume und</w:t>
      </w:r>
    </w:p>
    <w:p>
      <w:r>
        <w:t xml:space="preserve">Lebensgemeinschaften langfristig ihrer natürlichen Entwicklung</w:t>
      </w:r>
    </w:p>
    <w:p>
      <w:r>
        <w:t xml:space="preserve">überlassen bleiben, ist</w:t>
      </w:r>
    </w:p>
    <w:p>
      <w:r>
        <w:t xml:space="preserve">die Entwicklung von naturnah ausgeprägten, buchendominierten</w:t>
      </w:r>
    </w:p>
    <w:p>
      <w:r>
        <w:t xml:space="preserve">Laubmischwäldern trockener bis feuchter Standorte, insbesondere</w:t>
      </w:r>
    </w:p>
    <w:p>
      <w:r>
        <w:t xml:space="preserve">durch Sukzession verschiedener, ineinander übergehender</w:t>
      </w:r>
    </w:p>
    <w:p>
      <w:r>
        <w:t xml:space="preserve">Buchenwaldgesellschaften,</w:t>
      </w:r>
    </w:p>
    <w:p>
      <w:r>
        <w:t xml:space="preserve">als Teil eines Verbundsystems der natürlich dynamischen</w:t>
      </w:r>
    </w:p>
    <w:p>
      <w:r>
        <w:t xml:space="preserve">Buchenwaldentwicklung mit den bereits bestehenden Totalreservaten</w:t>
      </w:r>
    </w:p>
    <w:p>
      <w:r>
        <w:t xml:space="preserve">„Poratzer Moränenlandschaft“ und „Grumsiner Forst“ an</w:t>
      </w:r>
    </w:p>
    <w:p>
      <w:r>
        <w:t xml:space="preserve">der kontinentalen Verbreitungsgrenze des baltischen Tieflandbuchenwaldareals,</w:t>
      </w:r>
    </w:p>
    <w:p>
      <w:r>
        <w:t xml:space="preserve">der Altwaldstrukturen einschließlich eines über 200 Jahre alten</w:t>
      </w:r>
    </w:p>
    <w:p>
      <w:r>
        <w:t xml:space="preserve">Hang- und Terrassenbuchenwaldes mit seinen natürlichen Entwicklungsphasen</w:t>
      </w:r>
    </w:p>
    <w:p>
      <w:r>
        <w:t xml:space="preserve">und -zyklen;</w:t>
      </w:r>
    </w:p>
    <w:p>
      <w:r>
        <w:t xml:space="preserve">die Sukzession von Kiefernbeständen und Laubholz-Kiefernforsten auf</w:t>
      </w:r>
    </w:p>
    <w:p>
      <w:r>
        <w:t xml:space="preserve">potenziell natürlichen Buchenwaldstandorten;</w:t>
      </w:r>
    </w:p>
    <w:p>
      <w:r>
        <w:t xml:space="preserve">die Erhaltung und Entwicklung der Lebensräume wild lebender</w:t>
      </w:r>
    </w:p>
    <w:p>
      <w:r>
        <w:t xml:space="preserve">Pflanzenarten, darunter im Sinne von § 10 Abs. 2 Nr. 10 des</w:t>
      </w:r>
    </w:p>
    <w:p>
      <w:r>
        <w:t xml:space="preserve">Bundesnaturschutzgesetzes besonders geschützte Arten, insbesondere</w:t>
      </w:r>
    </w:p>
    <w:p>
      <w:r>
        <w:t xml:space="preserve">Sumpf-Glanzkraut (Liparis loeselii), Wenigblütige Sumpfsimse (Eleocharis</w:t>
      </w:r>
    </w:p>
    <w:p>
      <w:r>
        <w:t xml:space="preserve">quinqueflora) und Langblättriger Sonnentau (Drosera anglica);</w:t>
      </w:r>
    </w:p>
    <w:p>
      <w:r>
        <w:t xml:space="preserve">die Erhaltung und Entwicklung des Gebietes als Lebens- und</w:t>
      </w:r>
    </w:p>
    <w:p>
      <w:r>
        <w:t xml:space="preserve">Rückzugsraum sowie potenzielles Wiederausbreitungsgebiet wild lebender</w:t>
      </w:r>
    </w:p>
    <w:p>
      <w:r>
        <w:t xml:space="preserve">Tierarten;</w:t>
      </w:r>
    </w:p>
    <w:p>
      <w:r>
        <w:t xml:space="preserve">die Erhaltung und Entwicklung des Gebietes aus wissenschaftlichen</w:t>
      </w:r>
    </w:p>
    <w:p>
      <w:r>
        <w:t xml:space="preserve">Gründen, zur Beobachtung und Dokumentation von durch Menschen nicht</w:t>
      </w:r>
    </w:p>
    <w:p>
      <w:r>
        <w:t xml:space="preserve">unmittelbar beeinflussten Waldentwicklungsprozessen, insbesondere</w:t>
      </w:r>
    </w:p>
    <w:p>
      <w:r>
        <w:t xml:space="preserve">für die eigendynamische Laubwaldentwicklung im Vergleich zu</w:t>
      </w:r>
    </w:p>
    <w:p>
      <w:r>
        <w:t xml:space="preserve">bewirtschafteten Buchenwäldern in dieser Region,</w:t>
      </w:r>
    </w:p>
    <w:p>
      <w:r>
        <w:t xml:space="preserve">der Buchenwaldgesellschaften im Übergangsbereich zu</w:t>
      </w:r>
    </w:p>
    <w:p>
      <w:r>
        <w:t xml:space="preserve">Eichen-Linden-Hainbuchen-Wäldern vor dem Hintergrund möglicher</w:t>
      </w:r>
    </w:p>
    <w:p>
      <w:r>
        <w:t xml:space="preserve">Klimaveränderungen.</w:t>
      </w:r>
    </w:p>
    <w:p>
      <w:r>
        <w:t xml:space="preserve">(2) Die Unterschutzstellung dient der Erhaltung und Entwicklung des Gebietes</w:t>
      </w:r>
    </w:p>
    <w:p>
      <w:r>
        <w:t xml:space="preserve">als Teil des Europäischen Vogelschutzgebietes</w:t>
      </w:r>
    </w:p>
    <w:p>
      <w:r>
        <w:t xml:space="preserve">„Schorfheide-Chorin“ (§ 2a Abs. 1 Nr. 9 des Brandenburgischen</w:t>
      </w:r>
    </w:p>
    <w:p>
      <w:r>
        <w:t xml:space="preserve">Naturschutzgesetzes) in seiner Funktion</w:t>
      </w:r>
    </w:p>
    <w:p>
      <w:r>
        <w:t xml:space="preserve">als Lebensraum von Arten nach Anhang I der Vogelschutzrichtlinie,</w:t>
      </w:r>
    </w:p>
    <w:p>
      <w:r>
        <w:t xml:space="preserve">insbesondere Fischadler (Pandion haliaetus), Kranich (Grus grus), Schwarzspecht</w:t>
      </w:r>
    </w:p>
    <w:p>
      <w:r>
        <w:t xml:space="preserve">(Dryocopus martius), Schwarzstorch (Ciconia nigra), Seeadler (Haliaeetus</w:t>
      </w:r>
    </w:p>
    <w:p>
      <w:r>
        <w:t xml:space="preserve">albicilla) und Zwergschnäpper (Ficedula parva) einschließlich ihrer</w:t>
      </w:r>
    </w:p>
    <w:p>
      <w:r>
        <w:t xml:space="preserve">Brut- und Nahrungsbiotope,</w:t>
      </w:r>
    </w:p>
    <w:p>
      <w:r>
        <w:t xml:space="preserve">als Vermehrungs-, Rast-, Mauser- und Überwinterungsgebiet für im</w:t>
      </w:r>
    </w:p>
    <w:p>
      <w:r>
        <w:t xml:space="preserve">Gebiet regelmäßig auftretende Zugvogelarten wie Gänsesäger</w:t>
      </w:r>
    </w:p>
    <w:p>
      <w:r>
        <w:t xml:space="preserve">(Mergus merganser), Schellente (Bucephala clangula) und Tafelente (Aythya</w:t>
      </w:r>
    </w:p>
    <w:p>
      <w:r>
        <w:t xml:space="preserve">ferina);</w:t>
      </w:r>
    </w:p>
    <w:p>
      <w:r>
        <w:t xml:space="preserve">als Teil des Gebietes von gemeinschaftlicher Bedeutung „Grumsiner</w:t>
      </w:r>
    </w:p>
    <w:p>
      <w:r>
        <w:t xml:space="preserve">Forst/Redernswalde“ (§ 2a Abs. 1 Nr. 8 des Brandenburgischen</w:t>
      </w:r>
    </w:p>
    <w:p>
      <w:r>
        <w:t xml:space="preserve">Naturschutzgesetzes) mit seinem Vorkommen von</w:t>
      </w:r>
    </w:p>
    <w:p>
      <w:r>
        <w:t xml:space="preserve">Übergangs- und Schwingrasenmooren, kalkreichen Nie-dermooren,</w:t>
      </w:r>
    </w:p>
    <w:p>
      <w:r>
        <w:t xml:space="preserve">Waldmeister-Buchenwald, Hainsimsen-Buchenwald sowie mesotrophen kalkhaltigen</w:t>
      </w:r>
    </w:p>
    <w:p>
      <w:r>
        <w:t xml:space="preserve">Gewässern mit benthischen Armleuchteralgenbeständen als Biotope von</w:t>
      </w:r>
    </w:p>
    <w:p>
      <w:r>
        <w:t xml:space="preserve">gemeinschaftlichem Interesse („natürliche Lebensraumtypen“ im</w:t>
      </w:r>
    </w:p>
    <w:p>
      <w:r>
        <w:t xml:space="preserve">Sinne des Anhangs I der Richtlinie 92/43/EWG),</w:t>
      </w:r>
    </w:p>
    <w:p>
      <w:r>
        <w:t xml:space="preserve">Moorwäldern als prioritäre Biotope („prioritäre</w:t>
      </w:r>
    </w:p>
    <w:p>
      <w:r>
        <w:t xml:space="preserve">Lebensraumtypen“ im Sinne des Anhangs I der Richtli-nie 92/43/EWG),</w:t>
      </w:r>
    </w:p>
    <w:p>
      <w:r>
        <w:t xml:space="preserve">Fischotter (Lutra lutra), Kamm-Molch (Triturus cristatus), Bitterling</w:t>
      </w:r>
    </w:p>
    <w:p>
      <w:r>
        <w:t xml:space="preserve">(Rhodeus sericeus amarus) und Großer Moosjungfer (Leucorrhinia caudalis)</w:t>
      </w:r>
    </w:p>
    <w:p>
      <w:r>
        <w:t xml:space="preserve">als Tierarten von gemeinschaftlichem Interesse (im Sinne des Anhangs II der</w:t>
      </w:r>
    </w:p>
    <w:p>
      <w:r>
        <w:t xml:space="preserve">Richtlinie 92/43/EWG).</w:t>
      </w:r>
    </w:p>
    <w:p>
      <w:r>
        <w:rPr>
          <w:color w:val="555555"/>
          <w:sz w:val="17"/>
        </w:rPr>
        <w:t xml:space="preserve">Zitiervorschlag: § 3 VO-ID212288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https://recht.nulegal.eu/gesetze/VO-ID212288/3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VO-ID212288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