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VO-ID212288 (Brandenburg) — Schutzgegenstand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305 Hektar. Es</w:t>
      </w:r>
    </w:p>
    <w:p>
      <w:r>
        <w:t xml:space="preserve">befindet sich im Grumsiner Forst/Redernswalde, innerhalb des Geltungsbereiches</w:t>
      </w:r>
    </w:p>
    <w:p>
      <w:r>
        <w:t xml:space="preserve">der Verordnung über die Festsetzung von Naturschutzgebieten und einem</w:t>
      </w:r>
    </w:p>
    <w:p>
      <w:r>
        <w:t xml:space="preserve">Landschaftsschutzgebiet von zentraler Bedeutung mit der Gesamtbezeichnung</w:t>
      </w:r>
    </w:p>
    <w:p>
      <w:r>
        <w:t xml:space="preserve">„Bio-sphärenreservat Schorfheide-Chorin“ vom 12. September 1990</w:t>
      </w:r>
    </w:p>
    <w:p>
      <w:r>
        <w:t xml:space="preserve">(Gesetzblatt der Deutschen Demokratischen Republik vom 1. Oktober, Sonderdruck</w:t>
      </w:r>
    </w:p>
    <w:p>
      <w:r>
        <w:t xml:space="preserve">Nr. 1472), und umfasst die Flurstücke 1, 3, 78, 79, 80, 81, 82</w:t>
      </w:r>
    </w:p>
    <w:p>
      <w:r>
        <w:t xml:space="preserve">(teilweise), 83, 86/6, 87/1, 87/2, 88, 89, 90, 91, 92, 100 (teilweise), 162,</w:t>
      </w:r>
    </w:p>
    <w:p>
      <w:r>
        <w:t xml:space="preserve">163, 175 (teilweise), 177, 178, 179, 180, 196 und 197 der Flur 3 der Gemarkung</w:t>
      </w:r>
    </w:p>
    <w:p>
      <w:r>
        <w:t xml:space="preserve">Glambeck.</w:t>
      </w:r>
    </w:p>
    <w:p>
      <w:r>
        <w:t xml:space="preserve">Eine Kartenskizze zur Orientierung über die Lage des</w:t>
      </w:r>
    </w:p>
    <w:p>
      <w:r>
        <w:t xml:space="preserve">Naturschutzgebietes ist dieser Verordnung als Anlage 1 beigefügt.</w:t>
      </w:r>
    </w:p>
    <w:p>
      <w:r>
        <w:t xml:space="preserve">(2) Die Grenze des Naturschutzgebietes ist in den in Anlage 2 dieser</w:t>
      </w:r>
    </w:p>
    <w:p>
      <w:r>
        <w:t xml:space="preserve">Verordnung aufgeführten Karten mit ununterbrochener roter Linie</w:t>
      </w:r>
    </w:p>
    <w:p>
      <w:r>
        <w:t xml:space="preserve">eingezeichnet; als Grenze gilt der innere Rand dieser Linie. Die in Anlage 2</w:t>
      </w:r>
    </w:p>
    <w:p>
      <w:r>
        <w:t xml:space="preserve">Nr. 1 mit der Blattnummer 1 und 2 aufgeführten topografischen Karten im</w:t>
      </w:r>
    </w:p>
    <w:p>
      <w:r>
        <w:t xml:space="preserve">Maßstab 1 : 10 000 ermöglichen die Verortung im Gelände.</w:t>
      </w:r>
    </w:p>
    <w:p>
      <w:r>
        <w:t xml:space="preserve">Maßgeblich für den Grenzverlauf ist die Einzeichnung in der in</w:t>
      </w:r>
    </w:p>
    <w:p>
      <w:r>
        <w:t xml:space="preserve">Anlage 2 Nr. 2 mit der Blattnummer 1 aufgeführten Liegenschaftskarte.</w:t>
      </w:r>
    </w:p>
    <w:p>
      <w:r>
        <w:t xml:space="preserve">(3) Die Verordnung mit Karten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beim Landkreis Barnim, untere</w:t>
      </w:r>
    </w:p>
    <w:p>
      <w:r>
        <w:t xml:space="preserve">Naturschutzbehörde,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