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VO-ID212286 (Brandenburg) — Kostenerstattung für die Beratung durch Ärztinnen und Ärzte</w:t>
      </w:r>
    </w:p>
    <w:p>
      <w:r>
        <w:rPr>
          <w:color w:val="555555"/>
          <w:sz w:val="18"/>
        </w:rPr>
        <w:t xml:space="preserve">Verordnung über die öffentliche Förderung von Beratungsstellen nach dem Schwangerschaftskonfliktgesetz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in der</w:t>
      </w:r>
    </w:p>
    <w:p>
      <w:r>
        <w:t xml:space="preserve">Schwangerschaftskonfliktberatung tätigen, staatlich anerkannten Ärztinnen und</w:t>
      </w:r>
    </w:p>
    <w:p>
      <w:r>
        <w:t xml:space="preserve">Ärzte erhalten für Beratungen nach den §§ 5, 6 und 7 des</w:t>
      </w:r>
    </w:p>
    <w:p>
      <w:r>
        <w:t xml:space="preserve">Schwangerschaftskonfliktgesetzes je Beratungsfall eine pauschale</w:t>
      </w:r>
    </w:p>
    <w:p>
      <w:r>
        <w:t xml:space="preserve">Kostenerstattung in Höhe von 100 Prozent der Kosten einer anhand der</w:t>
      </w:r>
    </w:p>
    <w:p>
      <w:r>
        <w:t xml:space="preserve">Personaldurchschnittskosten der Entgeltgruppe 13 ermittelten Arbeitsstunde. § 2</w:t>
      </w:r>
    </w:p>
    <w:p>
      <w:r>
        <w:t xml:space="preserve">Abs. 2 Satz 1 gilt entsprechend.</w:t>
      </w:r>
    </w:p>
    <w:p>
      <w:r>
        <w:t xml:space="preserve">(2) Eine</w:t>
      </w:r>
    </w:p>
    <w:p>
      <w:r>
        <w:t xml:space="preserve">Beratung derselben Person und ihrer Begleitung, die in mehreren</w:t>
      </w:r>
    </w:p>
    <w:p>
      <w:r>
        <w:t xml:space="preserve">Gesprächsterminen mit einem sachlichen und zeitlichen Zusammenhang erfolgt, gilt</w:t>
      </w:r>
    </w:p>
    <w:p>
      <w:r>
        <w:t xml:space="preserve">als ein Beratungsfall. Die pauschale Erstattung umfasst die Kosten für die</w:t>
      </w:r>
    </w:p>
    <w:p>
      <w:r>
        <w:t xml:space="preserve">Beratungstätigkeiten, für Dokumentation und für Fortbildung.</w:t>
      </w:r>
    </w:p>
    <w:p>
      <w:r>
        <w:rPr>
          <w:color w:val="555555"/>
          <w:sz w:val="17"/>
        </w:rPr>
        <w:t xml:space="preserve">Zitiervorschlag: § 5 VO-ID212286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https://recht.nulegal.eu/gesetze/VO-ID212286/5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