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VO-ID212286 (Brandenburg) — Ermittlung des pauschalen Festbetrages</w:t>
      </w:r>
    </w:p>
    <w:p>
      <w:r>
        <w:rPr>
          <w:color w:val="555555"/>
          <w:sz w:val="18"/>
        </w:rPr>
        <w:t xml:space="preserve">Verordnung über die öffentliche Förderung von Beratungsstellen nach dem Schwangerschaftskonfliktgesetz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</w:t>
      </w:r>
    </w:p>
    <w:p>
      <w:r>
        <w:t xml:space="preserve">Festbeträge nach den §§ 2 und 3 werden erstmals für das Förderjahr 2008 und</w:t>
      </w:r>
    </w:p>
    <w:p>
      <w:r>
        <w:t xml:space="preserve">sodann regelmäßig mit Ablauf von drei Jahren auf der Grundlage der jeweils</w:t>
      </w:r>
    </w:p>
    <w:p>
      <w:r>
        <w:t xml:space="preserve">geltenden Personaldurchschnittskosten für Beschäftigte ermittelt.</w:t>
      </w:r>
    </w:p>
    <w:p>
      <w:r>
        <w:rPr>
          <w:color w:val="555555"/>
          <w:sz w:val="17"/>
        </w:rPr>
        <w:t xml:space="preserve">Zitiervorschlag: § 4 VO-ID212286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https://recht.nulegal.eu/gesetze/VO-ID212286/4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