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VO-ID212286 (Brandenburg) — Öffentliche Förderung von Beratungsstellen in kommunaler Trägerschaft</w:t>
      </w:r>
    </w:p>
    <w:p>
      <w:r>
        <w:rPr>
          <w:color w:val="555555"/>
          <w:sz w:val="18"/>
        </w:rPr>
        <w:t xml:space="preserve">Verordnung über die öffentliche Förderung von Beratungsstellen nach dem Schwangerschaftskonfliktgesetz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Für jede</w:t>
      </w:r>
    </w:p>
    <w:p>
      <w:r>
        <w:t xml:space="preserve">kommunale Beratungspersonalstelle ist ein pauschaler Festbetrag zu ermitteln,</w:t>
      </w:r>
    </w:p>
    <w:p>
      <w:r>
        <w:t xml:space="preserve">der sich aus Personalkosten und Sachkosten zusammensetzt. § 2 Abs. 2 Satz 1 gilt</w:t>
      </w:r>
    </w:p>
    <w:p>
      <w:r>
        <w:t xml:space="preserve">entsprechend.</w:t>
      </w:r>
    </w:p>
    <w:p>
      <w:r>
        <w:t xml:space="preserve">(2) Der</w:t>
      </w:r>
    </w:p>
    <w:p>
      <w:r>
        <w:t xml:space="preserve">Personalkostenanteil am pauschalen Festbetrag wird auf 80 Prozent der</w:t>
      </w:r>
    </w:p>
    <w:p>
      <w:r>
        <w:t xml:space="preserve">Personaldurchschnittskosten der Entgeltgruppe 9 beschränkt. § 2 Abs. 2 Satz 4</w:t>
      </w:r>
    </w:p>
    <w:p>
      <w:r>
        <w:t xml:space="preserve">gilt entsprechend.</w:t>
      </w:r>
    </w:p>
    <w:p>
      <w:r>
        <w:t xml:space="preserve">(3) Der</w:t>
      </w:r>
    </w:p>
    <w:p>
      <w:r>
        <w:t xml:space="preserve">Sachkostenanteil am pauschalen Festbetrag wird auf 20 Prozent des nach Absatz 2</w:t>
      </w:r>
    </w:p>
    <w:p>
      <w:r>
        <w:t xml:space="preserve">ermittelten Personalkostenanteils beschränkt.</w:t>
      </w:r>
    </w:p>
    <w:p>
      <w:r>
        <w:t xml:space="preserve">(4) § 2 Abs. 4</w:t>
      </w:r>
    </w:p>
    <w:p>
      <w:r>
        <w:t xml:space="preserve">gilt entsprechend.</w:t>
      </w:r>
    </w:p>
    <w:p>
      <w:r>
        <w:rPr>
          <w:color w:val="555555"/>
          <w:sz w:val="17"/>
        </w:rPr>
        <w:t xml:space="preserve">Zitiervorschlag: § 3 VO-ID212286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https://recht.nulegal.eu/gesetze/VO-ID212286/3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