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VO-ID212286 (Brandenburg) — Öffentliche Förderung von Beratungsstellen in freier Trägerschaft</w:t>
      </w:r>
    </w:p>
    <w:p>
      <w:r>
        <w:rPr>
          <w:color w:val="555555"/>
          <w:sz w:val="18"/>
        </w:rPr>
        <w:t xml:space="preserve">Verordnung über die öffentliche Förderung von Beratungsstellen nach dem Schwangerschaftskonfliktgesetz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jede</w:t>
      </w:r>
    </w:p>
    <w:p>
      <w:r>
        <w:t xml:space="preserve">Beratungspersonalstelle ist ein pauschaler Festbetrag zu bestimmen, der sich aus</w:t>
      </w:r>
    </w:p>
    <w:p>
      <w:r>
        <w:t xml:space="preserve">Personalkosten und Sachkosten zusammensetzt.</w:t>
      </w:r>
    </w:p>
    <w:p>
      <w:r>
        <w:t xml:space="preserve">(2) Der</w:t>
      </w:r>
    </w:p>
    <w:p>
      <w:r>
        <w:t xml:space="preserve">Personalkostenanteil ist anhand der für den öffentlichen Dienst des Landes</w:t>
      </w:r>
    </w:p>
    <w:p>
      <w:r>
        <w:t xml:space="preserve">ermittelten Personaldurchschnittskosten für Beschäftigte festzusetzen. Dabei ist</w:t>
      </w:r>
    </w:p>
    <w:p>
      <w:r>
        <w:t xml:space="preserve">zunächst eine Zwischensumme aus den Produkten der Personaldurchschnittskosten</w:t>
      </w:r>
    </w:p>
    <w:p>
      <w:r>
        <w:t xml:space="preserve">der</w:t>
      </w:r>
    </w:p>
    <w:p>
      <w:r>
        <w:t xml:space="preserve">Entgeltgruppe 13 multipliziert mit dem Faktor 0,2,</w:t>
      </w:r>
    </w:p>
    <w:p>
      <w:r>
        <w:t xml:space="preserve">der</w:t>
      </w:r>
    </w:p>
    <w:p>
      <w:r>
        <w:t xml:space="preserve">Entgeltgruppe 9 multipliziert mit dem Faktor 0,8 und</w:t>
      </w:r>
    </w:p>
    <w:p>
      <w:r>
        <w:t xml:space="preserve">der</w:t>
      </w:r>
    </w:p>
    <w:p>
      <w:r>
        <w:t xml:space="preserve">Entgeltgruppe 6 multipliziert mit dem Faktor 0,2</w:t>
      </w:r>
    </w:p>
    <w:p>
      <w:r>
        <w:t xml:space="preserve">zu bilden. Der</w:t>
      </w:r>
    </w:p>
    <w:p>
      <w:r>
        <w:t xml:space="preserve">Personalkostenanteil ist sodann auf 80 Prozent der Zwischensumme zu bemessen.</w:t>
      </w:r>
    </w:p>
    <w:p>
      <w:r>
        <w:t xml:space="preserve">Für das Jahr 2008 ist er auf 85 Prozent zu bemessen.</w:t>
      </w:r>
    </w:p>
    <w:p>
      <w:r>
        <w:t xml:space="preserve">(3) Der</w:t>
      </w:r>
    </w:p>
    <w:p>
      <w:r>
        <w:t xml:space="preserve">Sachkostenanteil am pauschalen Festbetrag wird auf 20 Prozent des nach Absatz 2</w:t>
      </w:r>
    </w:p>
    <w:p>
      <w:r>
        <w:t xml:space="preserve">ermittelten Personalkostenanteils festgesetzt.</w:t>
      </w:r>
    </w:p>
    <w:p>
      <w:r>
        <w:t xml:space="preserve">(4) Die</w:t>
      </w:r>
    </w:p>
    <w:p>
      <w:r>
        <w:t xml:space="preserve">öffentliche Förderung nach Absatz 1 darf die tatsächlichen Personal- und</w:t>
      </w:r>
    </w:p>
    <w:p>
      <w:r>
        <w:t xml:space="preserve">Sachkosten der Beratungsstelle nicht überschreiten.</w:t>
      </w:r>
    </w:p>
    <w:p>
      <w:r>
        <w:rPr>
          <w:color w:val="555555"/>
          <w:sz w:val="17"/>
        </w:rPr>
        <w:t xml:space="preserve">Zitiervorschlag: § 2 VO-ID212286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