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VO-ID212281 (Brandenburg)</w:t>
      </w:r>
    </w:p>
    <w:p>
      <w:r>
        <w:rPr>
          <w:color w:val="555555"/>
          <w:sz w:val="18"/>
        </w:rPr>
        <w:t xml:space="preserve">Verordnung zur Aufhebung der Brandenburgischen Umlageverordnung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1. Januar 2008 in Kraft.</w:t>
      </w:r>
    </w:p>
    <w:p>
      <w:r>
        <w:t xml:space="preserve">Potsdam, den 12. Februar 2007</w:t>
      </w:r>
    </w:p>
    <w:p>
      <w:r>
        <w:t xml:space="preserve">Der Minister für Ländliche Entwicklung,</w:t>
      </w:r>
    </w:p>
    <w:p>
      <w:r>
        <w:t xml:space="preserve">Umwelt und Verbraucherschutz</w:t>
      </w:r>
    </w:p>
    <w:p>
      <w:r>
        <w:t xml:space="preserve">Dr. Dietmar Woidke</w:t>
      </w:r>
    </w:p>
    <w:p>
      <w:r>
        <w:rPr>
          <w:color w:val="555555"/>
          <w:sz w:val="17"/>
        </w:rPr>
        <w:t xml:space="preserve">Zitiervorschlag: § 2 VO-ID212281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https://recht.nulegal.eu/gesetze/VO-ID212281/2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