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VO-ID212281 (Brandenburg)</w:t>
      </w:r>
    </w:p>
    <w:p>
      <w:r>
        <w:rPr>
          <w:color w:val="555555"/>
          <w:sz w:val="18"/>
        </w:rPr>
        <w:t xml:space="preserve">Verordnung zur Aufhebung der Brandenburgischen Umlageverordnung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Brandenburgische Umlageverordnung vom 15. Dezember 1992 (GVBl. II S.</w:t>
      </w:r>
    </w:p>
    <w:p>
      <w:r>
        <w:t xml:space="preserve">788), geändert durch Verordnung vom 3. September 2001 (GVBl. II S. 552),</w:t>
      </w:r>
    </w:p>
    <w:p>
      <w:r>
        <w:t xml:space="preserve">wird aufgehoben.</w:t>
      </w:r>
    </w:p>
    <w:p>
      <w:r>
        <w:rPr>
          <w:color w:val="555555"/>
          <w:sz w:val="17"/>
        </w:rPr>
        <w:t xml:space="preserve">Zitiervorschlag: § 1 VO-ID212281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https://recht.nulegal.eu/gesetze/VO-ID212281/1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